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7FA" w:rsidRDefault="00D917FA" w:rsidP="00D917FA">
      <w:pPr>
        <w:pStyle w:val="Heading1"/>
        <w:keepLines/>
        <w:pBdr>
          <w:bottom w:val="single" w:sz="4" w:space="1" w:color="595959" w:themeColor="text1" w:themeTint="A6"/>
        </w:pBdr>
        <w:spacing w:before="0" w:after="160" w:line="259" w:lineRule="auto"/>
        <w:ind w:hanging="142"/>
        <w:jc w:val="center"/>
        <w:rPr>
          <w:sz w:val="28"/>
          <w:szCs w:val="28"/>
        </w:rPr>
      </w:pPr>
      <w:r w:rsidRPr="00006C8F">
        <w:rPr>
          <w:sz w:val="28"/>
          <w:szCs w:val="28"/>
        </w:rPr>
        <w:t>Job description and person specification</w:t>
      </w:r>
    </w:p>
    <w:p w:rsidR="00D917FA" w:rsidRPr="000840D2" w:rsidRDefault="00D917FA" w:rsidP="00D917FA">
      <w:pPr>
        <w:rPr>
          <w:lang w:eastAsia="en-US"/>
        </w:rPr>
      </w:pPr>
    </w:p>
    <w:tbl>
      <w:tblPr>
        <w:tblStyle w:val="TableGrid"/>
        <w:tblW w:w="9072" w:type="dxa"/>
        <w:tblInd w:w="-5" w:type="dxa"/>
        <w:tblLook w:val="04A0" w:firstRow="1" w:lastRow="0" w:firstColumn="1" w:lastColumn="0" w:noHBand="0" w:noVBand="1"/>
      </w:tblPr>
      <w:tblGrid>
        <w:gridCol w:w="4652"/>
        <w:gridCol w:w="4420"/>
      </w:tblGrid>
      <w:tr w:rsidR="00D917FA" w:rsidTr="00A914C1">
        <w:tc>
          <w:tcPr>
            <w:tcW w:w="4652"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Job title</w:t>
            </w:r>
          </w:p>
        </w:tc>
        <w:tc>
          <w:tcPr>
            <w:tcW w:w="4420" w:type="dxa"/>
          </w:tcPr>
          <w:p w:rsidR="00D917FA" w:rsidRPr="002D59C4" w:rsidRDefault="00D917FA" w:rsidP="00A914C1">
            <w:pPr>
              <w:spacing w:before="120" w:after="120"/>
              <w:rPr>
                <w:rFonts w:ascii="Arial" w:hAnsi="Arial" w:cs="Arial"/>
                <w:sz w:val="22"/>
                <w:szCs w:val="22"/>
              </w:rPr>
            </w:pPr>
            <w:r>
              <w:rPr>
                <w:rFonts w:ascii="Arial" w:hAnsi="Arial" w:cs="Arial"/>
                <w:bCs/>
                <w:sz w:val="22"/>
                <w:szCs w:val="22"/>
              </w:rPr>
              <w:t>PCN Patient Care Coordinator</w:t>
            </w:r>
          </w:p>
        </w:tc>
      </w:tr>
      <w:tr w:rsidR="00D917FA" w:rsidTr="00A914C1">
        <w:tc>
          <w:tcPr>
            <w:tcW w:w="4652"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Line manager</w:t>
            </w:r>
          </w:p>
        </w:tc>
        <w:tc>
          <w:tcPr>
            <w:tcW w:w="4420" w:type="dxa"/>
          </w:tcPr>
          <w:p w:rsidR="00D917FA" w:rsidRPr="002D59C4" w:rsidRDefault="00D917FA" w:rsidP="00A914C1">
            <w:pPr>
              <w:spacing w:before="120" w:after="120"/>
              <w:rPr>
                <w:rFonts w:ascii="Arial" w:hAnsi="Arial" w:cs="Arial"/>
                <w:sz w:val="22"/>
                <w:szCs w:val="22"/>
              </w:rPr>
            </w:pPr>
            <w:r>
              <w:rPr>
                <w:rFonts w:ascii="Arial" w:hAnsi="Arial" w:cs="Arial"/>
                <w:sz w:val="22"/>
                <w:szCs w:val="22"/>
              </w:rPr>
              <w:t>Practice Manager – Park Surgery</w:t>
            </w:r>
          </w:p>
        </w:tc>
      </w:tr>
      <w:tr w:rsidR="00D917FA" w:rsidTr="00A914C1">
        <w:tc>
          <w:tcPr>
            <w:tcW w:w="4652"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Accountable to</w:t>
            </w:r>
          </w:p>
        </w:tc>
        <w:tc>
          <w:tcPr>
            <w:tcW w:w="4420" w:type="dxa"/>
          </w:tcPr>
          <w:p w:rsidR="00D917FA" w:rsidRPr="002D59C4" w:rsidRDefault="00D917FA" w:rsidP="00A914C1">
            <w:pPr>
              <w:spacing w:before="120" w:after="120"/>
              <w:rPr>
                <w:rFonts w:ascii="Arial" w:hAnsi="Arial" w:cs="Arial"/>
                <w:sz w:val="22"/>
                <w:szCs w:val="22"/>
              </w:rPr>
            </w:pPr>
            <w:r>
              <w:rPr>
                <w:rFonts w:ascii="Arial" w:hAnsi="Arial" w:cs="Arial"/>
                <w:sz w:val="22"/>
                <w:szCs w:val="22"/>
              </w:rPr>
              <w:t>Clinical Director</w:t>
            </w:r>
          </w:p>
        </w:tc>
      </w:tr>
      <w:tr w:rsidR="00D917FA" w:rsidTr="00A914C1">
        <w:tc>
          <w:tcPr>
            <w:tcW w:w="4652"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Hours per week</w:t>
            </w:r>
          </w:p>
        </w:tc>
        <w:tc>
          <w:tcPr>
            <w:tcW w:w="4420" w:type="dxa"/>
          </w:tcPr>
          <w:p w:rsidR="00D917FA" w:rsidRPr="002D59C4" w:rsidRDefault="00D917FA" w:rsidP="00A914C1">
            <w:pPr>
              <w:spacing w:before="120" w:after="120"/>
              <w:rPr>
                <w:rFonts w:ascii="Arial" w:hAnsi="Arial" w:cs="Arial"/>
                <w:sz w:val="22"/>
                <w:szCs w:val="22"/>
              </w:rPr>
            </w:pPr>
            <w:r>
              <w:rPr>
                <w:rFonts w:ascii="Arial" w:hAnsi="Arial" w:cs="Arial"/>
                <w:sz w:val="22"/>
                <w:szCs w:val="22"/>
              </w:rPr>
              <w:t>15- 20hrs per week</w:t>
            </w:r>
          </w:p>
        </w:tc>
      </w:tr>
    </w:tbl>
    <w:p w:rsidR="00D917FA" w:rsidRDefault="00D917FA" w:rsidP="00D917FA">
      <w:pPr>
        <w:rPr>
          <w:rFonts w:ascii="Arial" w:hAnsi="Arial" w:cs="Arial"/>
          <w:b/>
          <w:u w:val="single"/>
        </w:rPr>
      </w:pPr>
    </w:p>
    <w:tbl>
      <w:tblPr>
        <w:tblStyle w:val="TableGrid"/>
        <w:tblW w:w="9072" w:type="dxa"/>
        <w:tblInd w:w="-5" w:type="dxa"/>
        <w:tblLook w:val="04A0" w:firstRow="1" w:lastRow="0" w:firstColumn="1" w:lastColumn="0" w:noHBand="0" w:noVBand="1"/>
      </w:tblPr>
      <w:tblGrid>
        <w:gridCol w:w="9072"/>
      </w:tblGrid>
      <w:tr w:rsidR="00D917FA" w:rsidRPr="002D59C4" w:rsidTr="00A914C1">
        <w:tc>
          <w:tcPr>
            <w:tcW w:w="9072"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Job summary</w:t>
            </w:r>
          </w:p>
        </w:tc>
      </w:tr>
      <w:tr w:rsidR="00D917FA" w:rsidTr="00A914C1">
        <w:trPr>
          <w:trHeight w:val="224"/>
        </w:trPr>
        <w:tc>
          <w:tcPr>
            <w:tcW w:w="9072" w:type="dxa"/>
          </w:tcPr>
          <w:p w:rsidR="00D917FA" w:rsidRDefault="00D917FA" w:rsidP="00A914C1">
            <w:pPr>
              <w:widowControl w:val="0"/>
              <w:autoSpaceDE w:val="0"/>
              <w:autoSpaceDN w:val="0"/>
              <w:adjustRightInd w:val="0"/>
              <w:spacing w:before="60"/>
              <w:rPr>
                <w:rFonts w:ascii="Arial" w:hAnsi="Arial" w:cs="Arial"/>
                <w:sz w:val="22"/>
                <w:szCs w:val="22"/>
              </w:rPr>
            </w:pPr>
            <w:r>
              <w:rPr>
                <w:rFonts w:ascii="Arial" w:hAnsi="Arial" w:cs="Arial"/>
                <w:sz w:val="22"/>
                <w:szCs w:val="22"/>
              </w:rPr>
              <w:t>Park surgery are looking to recruit</w:t>
            </w:r>
            <w:r w:rsidRPr="003477F8">
              <w:rPr>
                <w:rFonts w:ascii="Arial" w:hAnsi="Arial" w:cs="Arial"/>
                <w:sz w:val="22"/>
                <w:szCs w:val="22"/>
              </w:rPr>
              <w:t xml:space="preserve"> a </w:t>
            </w:r>
            <w:r>
              <w:rPr>
                <w:rFonts w:ascii="Arial" w:hAnsi="Arial" w:cs="Arial"/>
                <w:sz w:val="22"/>
                <w:szCs w:val="22"/>
              </w:rPr>
              <w:t>Patient Care Coordinator.</w:t>
            </w:r>
          </w:p>
          <w:p w:rsidR="00D917FA" w:rsidRDefault="00D917FA" w:rsidP="00A914C1">
            <w:pPr>
              <w:widowControl w:val="0"/>
              <w:autoSpaceDE w:val="0"/>
              <w:autoSpaceDN w:val="0"/>
              <w:adjustRightInd w:val="0"/>
              <w:spacing w:before="60"/>
              <w:rPr>
                <w:rFonts w:ascii="Arial" w:hAnsi="Arial" w:cs="Arial"/>
                <w:sz w:val="22"/>
                <w:szCs w:val="22"/>
              </w:rPr>
            </w:pPr>
          </w:p>
          <w:p w:rsidR="00D917FA" w:rsidRDefault="00D917FA" w:rsidP="00A914C1">
            <w:pPr>
              <w:widowControl w:val="0"/>
              <w:autoSpaceDE w:val="0"/>
              <w:autoSpaceDN w:val="0"/>
              <w:adjustRightInd w:val="0"/>
              <w:rPr>
                <w:rFonts w:ascii="Arial" w:hAnsi="Arial" w:cs="Arial"/>
                <w:color w:val="000000"/>
                <w:sz w:val="22"/>
                <w:szCs w:val="22"/>
              </w:rPr>
            </w:pPr>
            <w:r>
              <w:rPr>
                <w:rFonts w:ascii="Arial" w:hAnsi="Arial" w:cs="Arial"/>
                <w:sz w:val="22"/>
                <w:szCs w:val="22"/>
              </w:rPr>
              <w:t xml:space="preserve">Patient Care Coordinators </w:t>
            </w:r>
            <w:r>
              <w:rPr>
                <w:rFonts w:ascii="Arial" w:hAnsi="Arial" w:cs="Arial"/>
                <w:color w:val="000000"/>
                <w:sz w:val="22"/>
                <w:szCs w:val="22"/>
              </w:rPr>
              <w:t>are</w:t>
            </w:r>
            <w:r w:rsidRPr="0080647D">
              <w:rPr>
                <w:rFonts w:ascii="Arial" w:hAnsi="Arial" w:cs="Arial"/>
                <w:color w:val="000000"/>
                <w:sz w:val="22"/>
                <w:szCs w:val="22"/>
              </w:rPr>
              <w:t xml:space="preserve"> required to deal with patients and, if appropriate, their </w:t>
            </w:r>
            <w:proofErr w:type="spellStart"/>
            <w:r w:rsidRPr="0080647D">
              <w:rPr>
                <w:rFonts w:ascii="Arial" w:hAnsi="Arial" w:cs="Arial"/>
                <w:color w:val="000000"/>
                <w:sz w:val="22"/>
                <w:szCs w:val="22"/>
              </w:rPr>
              <w:t>carer</w:t>
            </w:r>
            <w:r>
              <w:rPr>
                <w:rFonts w:ascii="Arial" w:hAnsi="Arial" w:cs="Arial"/>
                <w:color w:val="000000"/>
                <w:sz w:val="22"/>
                <w:szCs w:val="22"/>
              </w:rPr>
              <w:t>s</w:t>
            </w:r>
            <w:proofErr w:type="spellEnd"/>
            <w:r w:rsidRPr="0080647D">
              <w:rPr>
                <w:rFonts w:ascii="Arial" w:hAnsi="Arial" w:cs="Arial"/>
                <w:color w:val="000000"/>
                <w:sz w:val="22"/>
                <w:szCs w:val="22"/>
              </w:rPr>
              <w:t xml:space="preserve">, before or after the patient’s consultation with a clinician or other healthcare professional. </w:t>
            </w:r>
          </w:p>
          <w:p w:rsidR="00D917FA" w:rsidRDefault="00D917FA" w:rsidP="00A914C1">
            <w:pPr>
              <w:widowControl w:val="0"/>
              <w:autoSpaceDE w:val="0"/>
              <w:autoSpaceDN w:val="0"/>
              <w:adjustRightInd w:val="0"/>
              <w:rPr>
                <w:rFonts w:ascii="Arial" w:hAnsi="Arial" w:cs="Arial"/>
                <w:color w:val="000000"/>
                <w:sz w:val="22"/>
                <w:szCs w:val="22"/>
              </w:rPr>
            </w:pPr>
          </w:p>
          <w:p w:rsidR="00D917FA" w:rsidRPr="0080647D" w:rsidRDefault="00D917FA" w:rsidP="00A914C1">
            <w:pPr>
              <w:widowControl w:val="0"/>
              <w:autoSpaceDE w:val="0"/>
              <w:autoSpaceDN w:val="0"/>
              <w:adjustRightInd w:val="0"/>
              <w:rPr>
                <w:rFonts w:ascii="Arial" w:hAnsi="Arial" w:cs="Arial"/>
                <w:color w:val="000000"/>
                <w:sz w:val="22"/>
                <w:szCs w:val="22"/>
              </w:rPr>
            </w:pPr>
            <w:r w:rsidRPr="0080647D">
              <w:rPr>
                <w:rFonts w:ascii="Arial" w:hAnsi="Arial" w:cs="Arial"/>
                <w:color w:val="000000"/>
                <w:sz w:val="22"/>
                <w:szCs w:val="22"/>
              </w:rPr>
              <w:t>Working closely with the patient and their clinician or other healthcare professional</w:t>
            </w:r>
            <w:r>
              <w:rPr>
                <w:rFonts w:ascii="Arial" w:hAnsi="Arial" w:cs="Arial"/>
                <w:color w:val="000000"/>
                <w:sz w:val="22"/>
                <w:szCs w:val="22"/>
              </w:rPr>
              <w:t>,</w:t>
            </w:r>
            <w:r w:rsidRPr="0080647D">
              <w:rPr>
                <w:rFonts w:ascii="Arial" w:hAnsi="Arial" w:cs="Arial"/>
                <w:color w:val="000000"/>
                <w:sz w:val="22"/>
                <w:szCs w:val="22"/>
              </w:rPr>
              <w:t xml:space="preserve"> in particular the Social Prescribing Link Worker or social prescribing service provider and</w:t>
            </w:r>
            <w:r>
              <w:rPr>
                <w:rFonts w:ascii="Arial" w:hAnsi="Arial" w:cs="Arial"/>
                <w:color w:val="000000"/>
                <w:sz w:val="22"/>
                <w:szCs w:val="22"/>
              </w:rPr>
              <w:t xml:space="preserve"> H</w:t>
            </w:r>
            <w:r w:rsidRPr="0080647D">
              <w:rPr>
                <w:rFonts w:ascii="Arial" w:hAnsi="Arial" w:cs="Arial"/>
                <w:color w:val="000000"/>
                <w:sz w:val="22"/>
                <w:szCs w:val="22"/>
              </w:rPr>
              <w:t xml:space="preserve">ealth and Wellbeing </w:t>
            </w:r>
            <w:proofErr w:type="gramStart"/>
            <w:r w:rsidRPr="0080647D">
              <w:rPr>
                <w:rFonts w:ascii="Arial" w:hAnsi="Arial" w:cs="Arial"/>
                <w:color w:val="000000"/>
                <w:sz w:val="22"/>
                <w:szCs w:val="22"/>
              </w:rPr>
              <w:t>Coach(</w:t>
            </w:r>
            <w:proofErr w:type="spellStart"/>
            <w:proofErr w:type="gramEnd"/>
            <w:r w:rsidRPr="0080647D">
              <w:rPr>
                <w:rFonts w:ascii="Arial" w:hAnsi="Arial" w:cs="Arial"/>
                <w:color w:val="000000"/>
                <w:sz w:val="22"/>
                <w:szCs w:val="22"/>
              </w:rPr>
              <w:t>es</w:t>
            </w:r>
            <w:proofErr w:type="spellEnd"/>
            <w:r w:rsidRPr="0080647D">
              <w:rPr>
                <w:rFonts w:ascii="Arial" w:hAnsi="Arial" w:cs="Arial"/>
                <w:color w:val="000000"/>
                <w:sz w:val="22"/>
                <w:szCs w:val="22"/>
              </w:rPr>
              <w:t xml:space="preserve">), the </w:t>
            </w:r>
            <w:r>
              <w:rPr>
                <w:rFonts w:ascii="Arial" w:hAnsi="Arial" w:cs="Arial"/>
                <w:sz w:val="22"/>
                <w:szCs w:val="22"/>
              </w:rPr>
              <w:t>Patient Care Coordinator</w:t>
            </w:r>
            <w:r>
              <w:rPr>
                <w:rFonts w:ascii="Arial" w:hAnsi="Arial" w:cs="Arial"/>
                <w:color w:val="000000"/>
                <w:sz w:val="22"/>
                <w:szCs w:val="22"/>
              </w:rPr>
              <w:t xml:space="preserve"> </w:t>
            </w:r>
            <w:r w:rsidRPr="0080647D">
              <w:rPr>
                <w:rFonts w:ascii="Arial" w:hAnsi="Arial" w:cs="Arial"/>
                <w:color w:val="000000"/>
                <w:sz w:val="22"/>
                <w:szCs w:val="22"/>
              </w:rPr>
              <w:t>co-ordinates patients’ healthcare and directs them to the appropriate service to ensure that they get the most suitable care from whatever health or social care provider is appropriate.</w:t>
            </w:r>
          </w:p>
          <w:p w:rsidR="00D917FA" w:rsidRPr="0080647D" w:rsidRDefault="00D917FA" w:rsidP="00A914C1">
            <w:pPr>
              <w:widowControl w:val="0"/>
              <w:autoSpaceDE w:val="0"/>
              <w:autoSpaceDN w:val="0"/>
              <w:adjustRightInd w:val="0"/>
              <w:rPr>
                <w:rFonts w:ascii="Arial" w:hAnsi="Arial" w:cs="Arial"/>
                <w:color w:val="000000"/>
                <w:sz w:val="22"/>
                <w:szCs w:val="22"/>
              </w:rPr>
            </w:pPr>
          </w:p>
          <w:p w:rsidR="00D917FA" w:rsidRPr="0080647D" w:rsidRDefault="00D917FA" w:rsidP="00A914C1">
            <w:pPr>
              <w:widowControl w:val="0"/>
              <w:autoSpaceDE w:val="0"/>
              <w:autoSpaceDN w:val="0"/>
              <w:adjustRightInd w:val="0"/>
              <w:rPr>
                <w:rFonts w:ascii="Arial" w:hAnsi="Arial" w:cs="Arial"/>
                <w:color w:val="000000"/>
                <w:sz w:val="22"/>
                <w:szCs w:val="22"/>
              </w:rPr>
            </w:pPr>
            <w:r w:rsidRPr="0080647D">
              <w:rPr>
                <w:rFonts w:ascii="Arial" w:hAnsi="Arial" w:cs="Arial"/>
                <w:color w:val="000000"/>
                <w:sz w:val="22"/>
                <w:szCs w:val="22"/>
              </w:rPr>
              <w:t xml:space="preserve">The </w:t>
            </w:r>
            <w:r>
              <w:rPr>
                <w:rFonts w:ascii="Arial" w:hAnsi="Arial" w:cs="Arial"/>
                <w:sz w:val="22"/>
                <w:szCs w:val="22"/>
              </w:rPr>
              <w:t>Patient Care Coordinator</w:t>
            </w:r>
            <w:r w:rsidRPr="0080647D">
              <w:rPr>
                <w:rFonts w:ascii="Arial" w:hAnsi="Arial" w:cs="Arial"/>
                <w:color w:val="000000"/>
                <w:sz w:val="22"/>
                <w:szCs w:val="22"/>
              </w:rPr>
              <w:t xml:space="preserve">’s role requires them to be able to work with, and understand the roles of, a variety of different people working in the practice and across the PCN including Doctors, Nurses, Healthcare Assistants, Social Prescribing Link Workers, Physiotherapists, Physician Associates, Paramedics, Health </w:t>
            </w:r>
            <w:r>
              <w:rPr>
                <w:rFonts w:ascii="Arial" w:hAnsi="Arial" w:cs="Arial"/>
                <w:color w:val="000000"/>
                <w:sz w:val="22"/>
                <w:szCs w:val="22"/>
              </w:rPr>
              <w:t>a</w:t>
            </w:r>
            <w:r w:rsidRPr="0080647D">
              <w:rPr>
                <w:rFonts w:ascii="Arial" w:hAnsi="Arial" w:cs="Arial"/>
                <w:color w:val="000000"/>
                <w:sz w:val="22"/>
                <w:szCs w:val="22"/>
              </w:rPr>
              <w:t>nd Wellbeing Coaches, Podiatrists, Occupational Therapists</w:t>
            </w:r>
            <w:r>
              <w:rPr>
                <w:rFonts w:ascii="Arial" w:hAnsi="Arial" w:cs="Arial"/>
                <w:color w:val="000000"/>
                <w:sz w:val="22"/>
                <w:szCs w:val="22"/>
              </w:rPr>
              <w:t xml:space="preserve"> a</w:t>
            </w:r>
            <w:r w:rsidRPr="0080647D">
              <w:rPr>
                <w:rFonts w:ascii="Arial" w:hAnsi="Arial" w:cs="Arial"/>
                <w:color w:val="000000"/>
                <w:sz w:val="22"/>
                <w:szCs w:val="22"/>
              </w:rPr>
              <w:t xml:space="preserve">nd Pharmacy Technicians. </w:t>
            </w:r>
          </w:p>
          <w:p w:rsidR="00D917FA" w:rsidRPr="0080647D" w:rsidRDefault="00D917FA" w:rsidP="00A914C1">
            <w:pPr>
              <w:widowControl w:val="0"/>
              <w:autoSpaceDE w:val="0"/>
              <w:autoSpaceDN w:val="0"/>
              <w:adjustRightInd w:val="0"/>
              <w:rPr>
                <w:rFonts w:ascii="Arial" w:hAnsi="Arial" w:cs="Arial"/>
                <w:color w:val="000000"/>
                <w:sz w:val="22"/>
                <w:szCs w:val="22"/>
              </w:rPr>
            </w:pPr>
          </w:p>
          <w:p w:rsidR="00D917FA" w:rsidRPr="0080647D" w:rsidRDefault="00D917FA" w:rsidP="00A914C1">
            <w:pPr>
              <w:widowControl w:val="0"/>
              <w:autoSpaceDE w:val="0"/>
              <w:autoSpaceDN w:val="0"/>
              <w:adjustRightInd w:val="0"/>
              <w:rPr>
                <w:rFonts w:ascii="Arial" w:hAnsi="Arial" w:cs="Arial"/>
                <w:color w:val="000000"/>
                <w:sz w:val="22"/>
                <w:szCs w:val="22"/>
              </w:rPr>
            </w:pPr>
            <w:r w:rsidRPr="0080647D">
              <w:rPr>
                <w:rFonts w:ascii="Arial" w:hAnsi="Arial" w:cs="Arial"/>
                <w:color w:val="000000"/>
                <w:sz w:val="22"/>
                <w:szCs w:val="22"/>
              </w:rPr>
              <w:t>They may be given a caseload of identified patients and be required to ensure that their changing needs are addressed by taking into account local priorities, health inequalities and/or population health management risk stratification.</w:t>
            </w:r>
          </w:p>
          <w:p w:rsidR="00D917FA" w:rsidRDefault="00D917FA" w:rsidP="00A914C1">
            <w:pPr>
              <w:widowControl w:val="0"/>
              <w:autoSpaceDE w:val="0"/>
              <w:autoSpaceDN w:val="0"/>
              <w:adjustRightInd w:val="0"/>
              <w:spacing w:before="60"/>
            </w:pPr>
          </w:p>
          <w:p w:rsidR="00D917FA" w:rsidRDefault="00D917FA" w:rsidP="00A914C1">
            <w:pPr>
              <w:rPr>
                <w:rFonts w:ascii="Arial" w:hAnsi="Arial" w:cs="Arial"/>
                <w:sz w:val="22"/>
                <w:szCs w:val="22"/>
              </w:rPr>
            </w:pPr>
            <w:r>
              <w:rPr>
                <w:rFonts w:ascii="Arial" w:hAnsi="Arial" w:cs="Arial"/>
                <w:sz w:val="22"/>
                <w:szCs w:val="22"/>
                <w:lang w:eastAsia="en-US"/>
              </w:rPr>
              <w:t xml:space="preserve">Further guidance to support this role can be found at Annex B (section B5) of the </w:t>
            </w:r>
            <w:hyperlink r:id="rId5">
              <w:r>
                <w:rPr>
                  <w:rStyle w:val="Hyperlink"/>
                  <w:rFonts w:ascii="Arial" w:eastAsiaTheme="majorEastAsia" w:hAnsi="Arial" w:cs="Arial"/>
                  <w:sz w:val="22"/>
                  <w:szCs w:val="22"/>
                </w:rPr>
                <w:t>Network Contract Agreement DES Specification PCN Requirements and Entitlements 2025/26</w:t>
              </w:r>
            </w:hyperlink>
            <w:r>
              <w:rPr>
                <w:rFonts w:ascii="Arial" w:hAnsi="Arial" w:cs="Arial"/>
                <w:sz w:val="22"/>
                <w:szCs w:val="22"/>
              </w:rPr>
              <w:t>.</w:t>
            </w:r>
          </w:p>
          <w:p w:rsidR="00D917FA" w:rsidRPr="00390E03" w:rsidRDefault="00D917FA" w:rsidP="00A914C1">
            <w:pPr>
              <w:pStyle w:val="ListParagraph"/>
              <w:widowControl w:val="0"/>
              <w:autoSpaceDE w:val="0"/>
              <w:autoSpaceDN w:val="0"/>
              <w:adjustRightInd w:val="0"/>
              <w:ind w:left="0"/>
              <w:rPr>
                <w:rFonts w:ascii="Arial" w:hAnsi="Arial" w:cs="Arial"/>
                <w:sz w:val="22"/>
                <w:szCs w:val="22"/>
              </w:rPr>
            </w:pPr>
          </w:p>
        </w:tc>
      </w:tr>
    </w:tbl>
    <w:p w:rsidR="00D917FA" w:rsidRDefault="00D917FA" w:rsidP="00D917FA">
      <w:pPr>
        <w:rPr>
          <w:rFonts w:ascii="Arial" w:hAnsi="Arial" w:cs="Arial"/>
          <w:b/>
          <w:u w:val="single"/>
        </w:rPr>
      </w:pPr>
    </w:p>
    <w:tbl>
      <w:tblPr>
        <w:tblStyle w:val="TableGrid"/>
        <w:tblW w:w="9067" w:type="dxa"/>
        <w:tblLook w:val="04A0" w:firstRow="1" w:lastRow="0" w:firstColumn="1" w:lastColumn="0" w:noHBand="0" w:noVBand="1"/>
      </w:tblPr>
      <w:tblGrid>
        <w:gridCol w:w="9067"/>
      </w:tblGrid>
      <w:tr w:rsidR="00D917FA" w:rsidRPr="002D59C4" w:rsidTr="00A914C1">
        <w:tc>
          <w:tcPr>
            <w:tcW w:w="9067" w:type="dxa"/>
            <w:tcBorders>
              <w:top w:val="single" w:sz="4" w:space="0" w:color="auto"/>
              <w:left w:val="single" w:sz="4" w:space="0" w:color="auto"/>
              <w:bottom w:val="single" w:sz="4" w:space="0" w:color="auto"/>
              <w:right w:val="single" w:sz="4" w:space="0" w:color="auto"/>
            </w:tcBorders>
            <w:shd w:val="clear" w:color="auto" w:fill="A5B592" w:themeFill="accent1"/>
            <w:hideMark/>
          </w:tcPr>
          <w:p w:rsidR="00D917FA" w:rsidRPr="002D59C4" w:rsidRDefault="00D917FA" w:rsidP="00A914C1">
            <w:pPr>
              <w:spacing w:before="120" w:after="120"/>
              <w:rPr>
                <w:rFonts w:ascii="Arial" w:hAnsi="Arial" w:cs="Arial"/>
                <w:b/>
                <w:color w:val="FFFFFF" w:themeColor="background1"/>
              </w:rPr>
            </w:pPr>
            <w:r>
              <w:rPr>
                <w:rFonts w:ascii="Arial" w:hAnsi="Arial" w:cs="Arial"/>
                <w:b/>
                <w:color w:val="FFFFFF" w:themeColor="background1"/>
              </w:rPr>
              <w:t>Park &amp; Orchard PCN</w:t>
            </w:r>
          </w:p>
        </w:tc>
      </w:tr>
      <w:tr w:rsidR="00D917FA" w:rsidTr="00A914C1">
        <w:tc>
          <w:tcPr>
            <w:tcW w:w="9067" w:type="dxa"/>
            <w:tcBorders>
              <w:top w:val="single" w:sz="4" w:space="0" w:color="auto"/>
              <w:left w:val="single" w:sz="4" w:space="0" w:color="auto"/>
              <w:bottom w:val="single" w:sz="4" w:space="0" w:color="auto"/>
              <w:right w:val="single" w:sz="4" w:space="0" w:color="auto"/>
            </w:tcBorders>
          </w:tcPr>
          <w:p w:rsidR="00D917FA" w:rsidRDefault="00D917FA" w:rsidP="00D917FA">
            <w:pPr>
              <w:pStyle w:val="Bodycopy"/>
              <w:ind w:firstLine="0"/>
              <w:rPr>
                <w:sz w:val="22"/>
              </w:rPr>
            </w:pPr>
            <w:r w:rsidRPr="00290389">
              <w:rPr>
                <w:sz w:val="22"/>
              </w:rPr>
              <w:t xml:space="preserve">Park and Orchard Primary Care Network (PCN) is an NHS Collaboration between 2 GP practices - Park Surgery and Orchard Surgery – covering the Horsham Locality. The practices have a combined population of 30,000 patients. There is a wide socio-economic and demographic served within this area which will provide an interesting and varied case mix. </w:t>
            </w:r>
          </w:p>
          <w:p w:rsidR="00D917FA" w:rsidRPr="00290389" w:rsidRDefault="00D917FA" w:rsidP="00D917FA">
            <w:pPr>
              <w:pStyle w:val="Bodycopy"/>
              <w:ind w:firstLine="0"/>
              <w:rPr>
                <w:sz w:val="22"/>
              </w:rPr>
            </w:pPr>
            <w:r w:rsidRPr="00290389">
              <w:rPr>
                <w:sz w:val="22"/>
              </w:rPr>
              <w:t xml:space="preserve">Our PCN have an exciting opportunity to expand their Primary Care workforce by employing an additional </w:t>
            </w:r>
            <w:r w:rsidR="00AD01D3">
              <w:rPr>
                <w:sz w:val="22"/>
                <w:szCs w:val="22"/>
              </w:rPr>
              <w:t>Patient Care Coordinator</w:t>
            </w:r>
            <w:r w:rsidR="00AD01D3" w:rsidRPr="00290389">
              <w:rPr>
                <w:sz w:val="22"/>
              </w:rPr>
              <w:t xml:space="preserve"> </w:t>
            </w:r>
            <w:bookmarkStart w:id="0" w:name="_GoBack"/>
            <w:bookmarkEnd w:id="0"/>
            <w:r w:rsidRPr="00290389">
              <w:rPr>
                <w:sz w:val="22"/>
              </w:rPr>
              <w:t>to join their innovative and dynamic Primary Care Network, to be based at Park Surgery.</w:t>
            </w:r>
          </w:p>
          <w:p w:rsidR="00D917FA" w:rsidRPr="00290389" w:rsidRDefault="00D917FA" w:rsidP="00D917FA">
            <w:pPr>
              <w:pStyle w:val="Bodycopy"/>
              <w:ind w:firstLine="0"/>
              <w:rPr>
                <w:sz w:val="22"/>
              </w:rPr>
            </w:pPr>
            <w:r w:rsidRPr="00290389">
              <w:rPr>
                <w:sz w:val="22"/>
              </w:rPr>
              <w:lastRenderedPageBreak/>
              <w:t>You will be joining an enthusiastic team of clinicians and administrators including GPs, Paramedic Practitioners, Pharmacy Technicians, Clinical P</w:t>
            </w:r>
            <w:r>
              <w:rPr>
                <w:sz w:val="22"/>
              </w:rPr>
              <w:t>harmacists, Physician Assistants</w:t>
            </w:r>
            <w:r w:rsidRPr="00290389">
              <w:rPr>
                <w:sz w:val="22"/>
              </w:rPr>
              <w:t xml:space="preserve">, First Contact Physiotherapists, Social Prescribers, Health and Wellbeing Coaches, Care Coordinators, Practice Nurses, Healthcare Assistants and more. </w:t>
            </w:r>
          </w:p>
          <w:p w:rsidR="00D917FA" w:rsidRDefault="00D917FA" w:rsidP="00D917FA">
            <w:pPr>
              <w:pStyle w:val="Bodycopy"/>
              <w:rPr>
                <w:sz w:val="22"/>
              </w:rPr>
            </w:pPr>
            <w:r w:rsidRPr="00290389">
              <w:rPr>
                <w:sz w:val="22"/>
              </w:rPr>
              <w:t xml:space="preserve">Our surgery teams work closely, sharing expertise and resources to develop new services including ambitions to soon establish a Women’s Health project and an Anticipatory Care/Frailty project. </w:t>
            </w:r>
          </w:p>
          <w:p w:rsidR="00D917FA" w:rsidRPr="00290389" w:rsidRDefault="00D917FA" w:rsidP="00D917FA">
            <w:pPr>
              <w:pStyle w:val="Bodycopy"/>
              <w:rPr>
                <w:sz w:val="22"/>
              </w:rPr>
            </w:pPr>
            <w:r w:rsidRPr="00290389">
              <w:rPr>
                <w:sz w:val="22"/>
              </w:rPr>
              <w:t xml:space="preserve">Our vision is to continue to improve the quality of care that we provide in alignment with the needs of our patient population and find innovative solutions in general practice to deliver the best care we can for our patients. </w:t>
            </w:r>
          </w:p>
          <w:p w:rsidR="00D917FA" w:rsidRDefault="00D917FA" w:rsidP="00D917FA">
            <w:pPr>
              <w:pStyle w:val="Bodycopy"/>
              <w:rPr>
                <w:sz w:val="22"/>
              </w:rPr>
            </w:pPr>
            <w:r w:rsidRPr="00290389">
              <w:rPr>
                <w:sz w:val="22"/>
              </w:rPr>
              <w:t xml:space="preserve">Our PCN builds on the existing primary care services and enables a greater provision of proactive, personalised and more integrated health and social care. </w:t>
            </w:r>
          </w:p>
          <w:p w:rsidR="00D917FA" w:rsidRPr="00C66ACE" w:rsidRDefault="00D917FA" w:rsidP="00D917FA">
            <w:pPr>
              <w:pStyle w:val="Bodycopy"/>
              <w:rPr>
                <w:sz w:val="22"/>
              </w:rPr>
            </w:pPr>
            <w:r w:rsidRPr="00290389">
              <w:rPr>
                <w:sz w:val="22"/>
              </w:rPr>
              <w:t>We are supported by practitioners in additional roles who allow us to create bespoke multi-disciplinary teams based on the needs of our local population. By working together with local community services, this allows us to make support available to people where it is most needed. </w:t>
            </w:r>
          </w:p>
          <w:p w:rsidR="00D917FA" w:rsidRDefault="00D917FA" w:rsidP="00A914C1">
            <w:pPr>
              <w:rPr>
                <w:rFonts w:ascii="Arial" w:hAnsi="Arial" w:cs="Arial"/>
                <w:b/>
                <w:u w:val="single"/>
              </w:rPr>
            </w:pPr>
          </w:p>
        </w:tc>
      </w:tr>
      <w:tr w:rsidR="00D917FA" w:rsidRPr="00CC577B" w:rsidTr="00A914C1">
        <w:tc>
          <w:tcPr>
            <w:tcW w:w="9067" w:type="dxa"/>
            <w:tcBorders>
              <w:top w:val="single" w:sz="4" w:space="0" w:color="auto"/>
              <w:left w:val="single" w:sz="4" w:space="0" w:color="auto"/>
              <w:bottom w:val="single" w:sz="4" w:space="0" w:color="auto"/>
              <w:right w:val="single" w:sz="4" w:space="0" w:color="auto"/>
            </w:tcBorders>
            <w:shd w:val="clear" w:color="auto" w:fill="A5B592" w:themeFill="accent1"/>
            <w:hideMark/>
          </w:tcPr>
          <w:p w:rsidR="00D917FA"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lastRenderedPageBreak/>
              <w:t>Generic responsibilities</w:t>
            </w:r>
          </w:p>
          <w:p w:rsidR="00D917FA" w:rsidRPr="002D59C4" w:rsidRDefault="00D917FA" w:rsidP="00A914C1">
            <w:pPr>
              <w:spacing w:before="120" w:after="120"/>
              <w:rPr>
                <w:rFonts w:ascii="Arial" w:hAnsi="Arial" w:cs="Arial"/>
                <w:b/>
                <w:color w:val="FFFFFF" w:themeColor="background1"/>
              </w:rPr>
            </w:pPr>
          </w:p>
        </w:tc>
      </w:tr>
      <w:tr w:rsidR="00D917FA" w:rsidTr="00A914C1">
        <w:tc>
          <w:tcPr>
            <w:tcW w:w="9067" w:type="dxa"/>
            <w:tcBorders>
              <w:top w:val="single" w:sz="4" w:space="0" w:color="auto"/>
              <w:left w:val="single" w:sz="4" w:space="0" w:color="auto"/>
              <w:bottom w:val="single" w:sz="4" w:space="0" w:color="auto"/>
              <w:right w:val="single" w:sz="4" w:space="0" w:color="auto"/>
            </w:tcBorders>
          </w:tcPr>
          <w:p w:rsidR="00D917FA" w:rsidRDefault="00D917FA" w:rsidP="00A914C1">
            <w:pPr>
              <w:spacing w:before="60"/>
              <w:rPr>
                <w:rFonts w:ascii="Arial" w:hAnsi="Arial" w:cs="Arial"/>
                <w:sz w:val="22"/>
                <w:szCs w:val="22"/>
              </w:rPr>
            </w:pPr>
            <w:r>
              <w:rPr>
                <w:rFonts w:ascii="Arial" w:hAnsi="Arial" w:cs="Arial"/>
                <w:sz w:val="22"/>
                <w:szCs w:val="22"/>
              </w:rPr>
              <w:t>All staff at this organisation have a duty to conform to the following:</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Equality, Diversity and Inclusion</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A good attitude and positive action towards </w:t>
            </w:r>
            <w:hyperlink r:id="rId6" w:history="1">
              <w:r w:rsidRPr="00B51098">
                <w:rPr>
                  <w:rStyle w:val="Hyperlink"/>
                  <w:rFonts w:ascii="Arial"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Safety, Health, Environment and Fire (SHEF)</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The PCN is committed to supporting and promoting opportunities for staff to maintain their health, wellbeing and safety. </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lastRenderedPageBreak/>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All personnel are to comply with the:</w:t>
            </w:r>
          </w:p>
          <w:p w:rsidR="00D917FA" w:rsidRDefault="00D917FA" w:rsidP="00A914C1">
            <w:pPr>
              <w:rPr>
                <w:rFonts w:ascii="Arial" w:hAnsi="Arial" w:cs="Arial"/>
                <w:sz w:val="22"/>
                <w:szCs w:val="22"/>
              </w:rPr>
            </w:pPr>
          </w:p>
          <w:p w:rsidR="00D917FA" w:rsidRPr="00B13825" w:rsidRDefault="000728A8" w:rsidP="00D917FA">
            <w:pPr>
              <w:pStyle w:val="ListParagraph"/>
              <w:numPr>
                <w:ilvl w:val="0"/>
                <w:numId w:val="2"/>
              </w:numPr>
              <w:rPr>
                <w:rFonts w:ascii="Arial" w:hAnsi="Arial" w:cs="Arial"/>
                <w:sz w:val="22"/>
                <w:szCs w:val="22"/>
              </w:rPr>
            </w:pPr>
            <w:hyperlink r:id="rId7" w:history="1">
              <w:r w:rsidR="00D917FA" w:rsidRPr="00B13825">
                <w:rPr>
                  <w:rStyle w:val="Hyperlink"/>
                  <w:rFonts w:ascii="Arial" w:hAnsi="Arial" w:cs="Arial"/>
                  <w:sz w:val="22"/>
                  <w:szCs w:val="22"/>
                </w:rPr>
                <w:t>Health and Safety at Work Act 1974</w:t>
              </w:r>
            </w:hyperlink>
          </w:p>
          <w:p w:rsidR="00D917FA" w:rsidRPr="00B13825" w:rsidRDefault="000728A8" w:rsidP="00D917FA">
            <w:pPr>
              <w:pStyle w:val="ListParagraph"/>
              <w:numPr>
                <w:ilvl w:val="0"/>
                <w:numId w:val="2"/>
              </w:numPr>
              <w:rPr>
                <w:rFonts w:ascii="Arial" w:hAnsi="Arial" w:cs="Arial"/>
                <w:sz w:val="22"/>
                <w:szCs w:val="22"/>
              </w:rPr>
            </w:pPr>
            <w:hyperlink r:id="rId8" w:history="1">
              <w:r w:rsidR="00D917FA" w:rsidRPr="00B13825">
                <w:rPr>
                  <w:rStyle w:val="Hyperlink"/>
                  <w:rFonts w:ascii="Arial" w:hAnsi="Arial" w:cs="Arial"/>
                  <w:sz w:val="22"/>
                  <w:szCs w:val="22"/>
                </w:rPr>
                <w:t>Environmental Protection Act 1990</w:t>
              </w:r>
            </w:hyperlink>
          </w:p>
          <w:p w:rsidR="00D917FA" w:rsidRPr="00B13825" w:rsidRDefault="000728A8" w:rsidP="00D917FA">
            <w:pPr>
              <w:pStyle w:val="ListParagraph"/>
              <w:numPr>
                <w:ilvl w:val="0"/>
                <w:numId w:val="2"/>
              </w:numPr>
              <w:rPr>
                <w:rFonts w:ascii="Arial" w:hAnsi="Arial" w:cs="Arial"/>
                <w:sz w:val="22"/>
                <w:szCs w:val="22"/>
              </w:rPr>
            </w:pPr>
            <w:hyperlink r:id="rId9" w:history="1">
              <w:r w:rsidR="00D917FA" w:rsidRPr="00B13825">
                <w:rPr>
                  <w:rStyle w:val="Hyperlink"/>
                  <w:rFonts w:ascii="Arial" w:hAnsi="Arial" w:cs="Arial"/>
                  <w:sz w:val="22"/>
                  <w:szCs w:val="22"/>
                </w:rPr>
                <w:t>Environment Act 1995</w:t>
              </w:r>
            </w:hyperlink>
          </w:p>
          <w:p w:rsidR="00D917FA" w:rsidRDefault="000728A8" w:rsidP="00D917FA">
            <w:pPr>
              <w:pStyle w:val="ListParagraph"/>
              <w:numPr>
                <w:ilvl w:val="0"/>
                <w:numId w:val="2"/>
              </w:numPr>
              <w:rPr>
                <w:rFonts w:ascii="Arial" w:hAnsi="Arial" w:cs="Arial"/>
                <w:sz w:val="22"/>
                <w:szCs w:val="22"/>
              </w:rPr>
            </w:pPr>
            <w:hyperlink r:id="rId10" w:history="1">
              <w:r w:rsidR="00D917FA" w:rsidRPr="00B13825">
                <w:rPr>
                  <w:rStyle w:val="Hyperlink"/>
                  <w:rFonts w:ascii="Arial" w:hAnsi="Arial" w:cs="Arial"/>
                  <w:sz w:val="22"/>
                  <w:szCs w:val="22"/>
                </w:rPr>
                <w:t>Fire Precautions (workplace) Regulations 1999</w:t>
              </w:r>
            </w:hyperlink>
          </w:p>
          <w:p w:rsidR="00D917FA" w:rsidRPr="00B13825" w:rsidRDefault="00D917FA" w:rsidP="00D917FA">
            <w:pPr>
              <w:pStyle w:val="ListParagraph"/>
              <w:numPr>
                <w:ilvl w:val="0"/>
                <w:numId w:val="2"/>
              </w:numPr>
              <w:rPr>
                <w:rFonts w:ascii="Arial" w:hAnsi="Arial" w:cs="Arial"/>
                <w:sz w:val="22"/>
                <w:szCs w:val="22"/>
              </w:rPr>
            </w:pPr>
            <w:r>
              <w:rPr>
                <w:rFonts w:ascii="Arial" w:hAnsi="Arial" w:cs="Arial"/>
                <w:sz w:val="22"/>
                <w:szCs w:val="22"/>
              </w:rPr>
              <w:t>Other statutory legislation that may be brought to the post holder’s attention</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Confidentiality</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Quality and Continuous Improvement (CI)</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The responsibility for this rests with everyone working within the PCN and practices to look for opportunities to improve quality and share good practice and to discuss, highlight and collaborate with the team to create opportunities to improve patient care.</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This PCN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Induction</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In addition to the induction process at this organisation when the post holder will be provided with a full induction programme, when attending any practice within the network the post holder will also be required to complete their practice induction programme.</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lastRenderedPageBreak/>
              <w:t xml:space="preserve">While across the PCN we aim to </w:t>
            </w:r>
            <w:proofErr w:type="spellStart"/>
            <w:r>
              <w:rPr>
                <w:rFonts w:ascii="Arial" w:hAnsi="Arial" w:cs="Arial"/>
                <w:sz w:val="22"/>
                <w:szCs w:val="22"/>
              </w:rPr>
              <w:t>standardise</w:t>
            </w:r>
            <w:proofErr w:type="spellEnd"/>
            <w:r>
              <w:rPr>
                <w:rFonts w:ascii="Arial" w:hAnsi="Arial" w:cs="Arial"/>
                <w:sz w:val="22"/>
                <w:szCs w:val="22"/>
              </w:rPr>
              <w:t xml:space="preserve"> this process, inevitably there will be nuances particular to each practice. In any such instance, the practice management team will support you with this.</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Learning and development</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The post holder will provide an educational role to patients, </w:t>
            </w:r>
            <w:proofErr w:type="spellStart"/>
            <w:r>
              <w:rPr>
                <w:rFonts w:ascii="Arial" w:hAnsi="Arial" w:cs="Arial"/>
                <w:sz w:val="22"/>
                <w:szCs w:val="22"/>
              </w:rPr>
              <w:t>carers</w:t>
            </w:r>
            <w:proofErr w:type="spellEnd"/>
            <w:r>
              <w:rPr>
                <w:rFonts w:ascii="Arial" w:hAnsi="Arial" w:cs="Arial"/>
                <w:sz w:val="22"/>
                <w:szCs w:val="22"/>
              </w:rPr>
              <w:t>, families and colleagues in an environment that facilitates learning.</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Collaborative working</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All staff are to </w:t>
            </w:r>
            <w:proofErr w:type="spellStart"/>
            <w:r>
              <w:rPr>
                <w:rFonts w:ascii="Arial" w:hAnsi="Arial" w:cs="Arial"/>
                <w:sz w:val="22"/>
                <w:szCs w:val="22"/>
              </w:rPr>
              <w:t>recognise</w:t>
            </w:r>
            <w:proofErr w:type="spellEnd"/>
            <w:r>
              <w:rPr>
                <w:rFonts w:ascii="Arial" w:hAnsi="Arial" w:cs="Arial"/>
                <w:sz w:val="22"/>
                <w:szCs w:val="22"/>
              </w:rPr>
              <w:t xml:space="preserve"> the significance of collaborative working and understand their own role and scope and identify how this may develop over time. Staff are to </w:t>
            </w:r>
            <w:proofErr w:type="spellStart"/>
            <w:r>
              <w:rPr>
                <w:rFonts w:ascii="Arial" w:hAnsi="Arial" w:cs="Arial"/>
                <w:sz w:val="22"/>
                <w:szCs w:val="22"/>
              </w:rPr>
              <w:t>prioritise</w:t>
            </w:r>
            <w:proofErr w:type="spellEnd"/>
            <w:r>
              <w:rPr>
                <w:rFonts w:ascii="Arial" w:hAnsi="Arial" w:cs="Arial"/>
                <w:sz w:val="22"/>
                <w:szCs w:val="22"/>
              </w:rPr>
              <w:t xml:space="preserve"> their own workload and ensure effective time-management strategies are embedded within the culture of the team.</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and to work effectively with others to clearly define values, direction and policies impacting upon care delivery</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Effective communication is essential, and all staff must ensure they communicate in a manner which enables the sharing of information in an appropriate manner. All staff should delegate clearly and appropriately, adopting the principles of safe practice and assessment of competence. Plans and outcomes by which to measure success should be agreed.</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 xml:space="preserve">Managing information </w:t>
            </w:r>
          </w:p>
          <w:p w:rsidR="00D917FA" w:rsidRDefault="00D917FA" w:rsidP="00A914C1">
            <w:pPr>
              <w:rPr>
                <w:rFonts w:ascii="Arial" w:hAnsi="Arial" w:cs="Arial"/>
                <w:sz w:val="22"/>
                <w:szCs w:val="22"/>
              </w:rPr>
            </w:pPr>
            <w:r>
              <w:rPr>
                <w:rFonts w:ascii="Arial" w:hAnsi="Arial" w:cs="Arial"/>
                <w:sz w:val="22"/>
                <w:szCs w:val="22"/>
              </w:rPr>
              <w:t xml:space="preserve"> </w:t>
            </w:r>
          </w:p>
          <w:p w:rsidR="00D917FA" w:rsidRDefault="00D917FA" w:rsidP="00A914C1">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Data should be reviewed and processed using accurate SNOMED codes to ensure easy and accurate information retrieval for monitoring and audit processes. </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Service delivery</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Staff will be given detailed information during the induction process regarding policy and procedure. The post holder must adhere to the information contained within PCN and local practice policies and regional directives, ensuring protocols are adhered to at all times.</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Security</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The security of the organisation is the responsibility of all personnel. The post holder must ensure they always remain vigilant and report any suspicious activity immediately to their line manager.</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Professional conduct</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All staff are required to dress appropriately for their role. PCN staff members are to </w:t>
            </w:r>
            <w:proofErr w:type="spellStart"/>
            <w:r>
              <w:rPr>
                <w:rFonts w:ascii="Arial" w:hAnsi="Arial" w:cs="Arial"/>
                <w:sz w:val="22"/>
                <w:szCs w:val="22"/>
              </w:rPr>
              <w:t>familiarise</w:t>
            </w:r>
            <w:proofErr w:type="spellEnd"/>
            <w:r>
              <w:rPr>
                <w:rFonts w:ascii="Arial" w:hAnsi="Arial" w:cs="Arial"/>
                <w:sz w:val="22"/>
                <w:szCs w:val="22"/>
              </w:rPr>
              <w:t xml:space="preserve"> themselves and comply with local practice protocol.</w:t>
            </w:r>
          </w:p>
          <w:p w:rsidR="00D917FA" w:rsidRDefault="00D917FA" w:rsidP="00A914C1">
            <w:pPr>
              <w:rPr>
                <w:rFonts w:ascii="Arial" w:hAnsi="Arial" w:cs="Arial"/>
                <w:sz w:val="22"/>
                <w:szCs w:val="22"/>
              </w:rPr>
            </w:pPr>
          </w:p>
          <w:p w:rsidR="00D917FA" w:rsidRDefault="00D917FA" w:rsidP="00A914C1">
            <w:pPr>
              <w:rPr>
                <w:rFonts w:ascii="Arial" w:hAnsi="Arial" w:cs="Arial"/>
                <w:b/>
                <w:bCs/>
                <w:sz w:val="22"/>
                <w:szCs w:val="22"/>
              </w:rPr>
            </w:pPr>
            <w:r>
              <w:rPr>
                <w:rFonts w:ascii="Arial" w:hAnsi="Arial" w:cs="Arial"/>
                <w:b/>
                <w:bCs/>
                <w:sz w:val="22"/>
                <w:szCs w:val="22"/>
              </w:rPr>
              <w:t>Leave</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a minimum of 27 days’ leave each year and should be encouraged to take all their leave entitlement. </w:t>
            </w:r>
          </w:p>
          <w:p w:rsidR="00D917FA" w:rsidRDefault="00D917FA" w:rsidP="00A914C1">
            <w:pPr>
              <w:rPr>
                <w:rFonts w:ascii="Arial" w:hAnsi="Arial" w:cs="Arial"/>
                <w:sz w:val="22"/>
                <w:szCs w:val="22"/>
              </w:rPr>
            </w:pPr>
          </w:p>
          <w:p w:rsidR="00D917FA" w:rsidRDefault="00D917FA" w:rsidP="00A914C1">
            <w:pPr>
              <w:rPr>
                <w:rFonts w:ascii="Arial" w:hAnsi="Arial" w:cs="Arial"/>
                <w:sz w:val="22"/>
                <w:szCs w:val="22"/>
              </w:rPr>
            </w:pPr>
            <w:r>
              <w:rPr>
                <w:rFonts w:ascii="Arial" w:hAnsi="Arial" w:cs="Arial"/>
                <w:sz w:val="22"/>
                <w:szCs w:val="22"/>
              </w:rPr>
              <w:t>Public holidays will be calculated on a pro-rated basis dependent on the number of hours worked.</w:t>
            </w:r>
          </w:p>
          <w:p w:rsidR="00D917FA" w:rsidRDefault="00D917FA" w:rsidP="00A914C1">
            <w:pPr>
              <w:rPr>
                <w:rFonts w:ascii="Arial" w:hAnsi="Arial" w:cs="Arial"/>
                <w:sz w:val="22"/>
                <w:szCs w:val="22"/>
              </w:rPr>
            </w:pPr>
          </w:p>
        </w:tc>
      </w:tr>
    </w:tbl>
    <w:p w:rsidR="00D917FA" w:rsidRDefault="00D917FA" w:rsidP="00D917FA">
      <w:pPr>
        <w:rPr>
          <w:rFonts w:ascii="Arial" w:hAnsi="Arial" w:cs="Arial"/>
          <w:b/>
          <w:u w:val="single"/>
        </w:rPr>
      </w:pPr>
    </w:p>
    <w:tbl>
      <w:tblPr>
        <w:tblStyle w:val="TableGrid"/>
        <w:tblW w:w="9067" w:type="dxa"/>
        <w:tblLook w:val="04A0" w:firstRow="1" w:lastRow="0" w:firstColumn="1" w:lastColumn="0" w:noHBand="0" w:noVBand="1"/>
      </w:tblPr>
      <w:tblGrid>
        <w:gridCol w:w="9067"/>
      </w:tblGrid>
      <w:tr w:rsidR="00D917FA" w:rsidRPr="00390E03" w:rsidTr="00A914C1">
        <w:tc>
          <w:tcPr>
            <w:tcW w:w="9067" w:type="dxa"/>
            <w:shd w:val="clear" w:color="auto" w:fill="A5B592" w:themeFill="accent1"/>
          </w:tcPr>
          <w:p w:rsidR="00D917FA" w:rsidRPr="00B13825" w:rsidRDefault="00D917FA" w:rsidP="00A914C1">
            <w:pPr>
              <w:spacing w:before="120" w:after="120"/>
              <w:rPr>
                <w:rFonts w:ascii="Arial" w:hAnsi="Arial" w:cs="Arial"/>
                <w:b/>
                <w:bCs/>
                <w:color w:val="FFFFFF" w:themeColor="background1"/>
              </w:rPr>
            </w:pPr>
            <w:r w:rsidRPr="00B13825">
              <w:rPr>
                <w:rFonts w:ascii="Arial" w:hAnsi="Arial" w:cs="Arial"/>
                <w:b/>
                <w:bCs/>
                <w:color w:val="FFFFFF" w:themeColor="background1"/>
              </w:rPr>
              <w:t>Primary key responsibilities</w:t>
            </w:r>
          </w:p>
        </w:tc>
      </w:tr>
      <w:tr w:rsidR="00D917FA" w:rsidRPr="00390E03" w:rsidTr="00A914C1">
        <w:tc>
          <w:tcPr>
            <w:tcW w:w="9067" w:type="dxa"/>
          </w:tcPr>
          <w:p w:rsidR="00D917FA" w:rsidRPr="00FE3A02" w:rsidRDefault="00D917FA" w:rsidP="00A914C1">
            <w:pPr>
              <w:spacing w:before="60"/>
              <w:rPr>
                <w:rFonts w:ascii="Arial" w:hAnsi="Arial" w:cs="Arial"/>
                <w:sz w:val="22"/>
                <w:szCs w:val="22"/>
              </w:rPr>
            </w:pPr>
            <w:r w:rsidRPr="00FE3A02">
              <w:rPr>
                <w:rFonts w:ascii="Arial" w:hAnsi="Arial" w:cs="Arial"/>
                <w:sz w:val="22"/>
                <w:szCs w:val="22"/>
              </w:rPr>
              <w:t xml:space="preserve">The following are the core responsibilities of the PCN Patient Care Coordinator in delivering health services. </w:t>
            </w:r>
          </w:p>
          <w:p w:rsidR="00D917FA" w:rsidRPr="00FE3A02" w:rsidRDefault="00D917FA" w:rsidP="00A914C1">
            <w:pPr>
              <w:rPr>
                <w:rFonts w:ascii="Arial" w:hAnsi="Arial" w:cs="Arial"/>
                <w:sz w:val="22"/>
                <w:szCs w:val="22"/>
                <w:highlight w:val="yellow"/>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Utilise population health intelligence to proactively identify and work with a cohort of patients to deliver personalised care</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Support patients to utilise decision aids in preparation for a shared decision-making conversation</w:t>
            </w:r>
          </w:p>
          <w:p w:rsidR="00D917FA" w:rsidRPr="002851D0" w:rsidRDefault="00D917FA" w:rsidP="00A914C1">
            <w:pPr>
              <w:pStyle w:val="ListParagraph"/>
              <w:rPr>
                <w:rFonts w:ascii="Arial" w:hAnsi="Arial" w:cs="Arial"/>
                <w:sz w:val="22"/>
                <w:szCs w:val="22"/>
              </w:rPr>
            </w:pPr>
          </w:p>
          <w:p w:rsidR="00D917FA" w:rsidRPr="009044DD" w:rsidRDefault="00D917FA" w:rsidP="00D917FA">
            <w:pPr>
              <w:pStyle w:val="ListParagraph"/>
              <w:numPr>
                <w:ilvl w:val="0"/>
                <w:numId w:val="3"/>
              </w:numPr>
              <w:rPr>
                <w:rFonts w:ascii="Arial" w:hAnsi="Arial" w:cs="Arial"/>
                <w:sz w:val="22"/>
                <w:szCs w:val="22"/>
              </w:rPr>
            </w:pPr>
            <w:r w:rsidRPr="009044DD">
              <w:rPr>
                <w:rFonts w:ascii="Arial" w:hAnsi="Arial" w:cs="Arial"/>
                <w:sz w:val="22"/>
                <w:szCs w:val="22"/>
              </w:rPr>
              <w:t xml:space="preserve">Holistically bring together all of a person’s identified care and support needs and explore options to meet these within a single personalised care and support plan (PCSP), in line with PCSP best practice, based on what matters to the person following the </w:t>
            </w:r>
            <w:hyperlink r:id="rId11" w:history="1">
              <w:r w:rsidRPr="009044DD">
                <w:rPr>
                  <w:rStyle w:val="Hyperlink"/>
                  <w:rFonts w:ascii="Arial" w:hAnsi="Arial" w:cs="Arial"/>
                  <w:sz w:val="22"/>
                  <w:szCs w:val="22"/>
                </w:rPr>
                <w:t>NHS Comprehensive Care Model</w:t>
              </w:r>
            </w:hyperlink>
            <w:r w:rsidRPr="009044DD">
              <w:rPr>
                <w:rFonts w:ascii="Arial" w:hAnsi="Arial" w:cs="Arial"/>
                <w:sz w:val="22"/>
                <w:szCs w:val="22"/>
              </w:rPr>
              <w:t xml:space="preserve">.  See also YouTube </w:t>
            </w:r>
            <w:hyperlink r:id="rId12" w:history="1">
              <w:r w:rsidRPr="009044DD">
                <w:rPr>
                  <w:rStyle w:val="Hyperlink"/>
                  <w:rFonts w:ascii="Arial" w:hAnsi="Arial" w:cs="Arial"/>
                  <w:sz w:val="22"/>
                  <w:szCs w:val="22"/>
                </w:rPr>
                <w:t>NHS Comprehensive Personalised Care Model</w:t>
              </w:r>
            </w:hyperlink>
            <w:r w:rsidRPr="009044DD">
              <w:rPr>
                <w:rFonts w:ascii="Arial" w:hAnsi="Arial" w:cs="Arial"/>
                <w:sz w:val="22"/>
                <w:szCs w:val="22"/>
              </w:rPr>
              <w:t xml:space="preserve"> – Explainer Animation</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Help people to manage their needs through answering queries, making and managing appointments and ensuring that people have good quality written or verbal information to help them to make choices about their care, using tools to understand people’s level of knowledge and confidence in skills in managing their own health</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Support people to take up training and employment and to access</w:t>
            </w:r>
          </w:p>
          <w:p w:rsidR="00D917FA" w:rsidRPr="002851D0" w:rsidRDefault="00D917FA" w:rsidP="00A914C1">
            <w:pPr>
              <w:pStyle w:val="ListParagraph"/>
              <w:rPr>
                <w:rFonts w:ascii="Arial" w:hAnsi="Arial" w:cs="Arial"/>
                <w:sz w:val="22"/>
                <w:szCs w:val="22"/>
              </w:rPr>
            </w:pPr>
            <w:r w:rsidRPr="002851D0">
              <w:rPr>
                <w:rFonts w:ascii="Arial" w:hAnsi="Arial" w:cs="Arial"/>
                <w:sz w:val="22"/>
                <w:szCs w:val="22"/>
              </w:rPr>
              <w:t>appropriate benefits where eligible</w:t>
            </w:r>
          </w:p>
          <w:p w:rsidR="00D917FA" w:rsidRPr="002851D0" w:rsidRDefault="00D917FA" w:rsidP="00A914C1">
            <w:pPr>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 xml:space="preserve">Support people to understand their level of knowledge, skills and confidence (their ‘activation’ level) when engaging with their health and wellbeing, including through the use of the </w:t>
            </w:r>
            <w:hyperlink r:id="rId13" w:history="1">
              <w:r w:rsidRPr="002851D0">
                <w:rPr>
                  <w:rStyle w:val="Hyperlink"/>
                  <w:rFonts w:ascii="Arial" w:hAnsi="Arial" w:cs="Arial"/>
                  <w:sz w:val="22"/>
                  <w:szCs w:val="22"/>
                </w:rPr>
                <w:t>Patient Activation Measure (PAM)</w:t>
              </w:r>
            </w:hyperlink>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Assist people to access self-management education courses, peer support or interventions that support them in their health and wellbeing and increase their activation level</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lastRenderedPageBreak/>
              <w:t xml:space="preserve">Explore and assist people to access personal health budgets where appropriate </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 xml:space="preserve">Provide coordination and navigation for people and their </w:t>
            </w:r>
            <w:proofErr w:type="spellStart"/>
            <w:r w:rsidRPr="002851D0">
              <w:rPr>
                <w:rFonts w:ascii="Arial" w:hAnsi="Arial" w:cs="Arial"/>
                <w:sz w:val="22"/>
                <w:szCs w:val="22"/>
              </w:rPr>
              <w:t>carers</w:t>
            </w:r>
            <w:proofErr w:type="spellEnd"/>
            <w:r w:rsidRPr="002851D0">
              <w:rPr>
                <w:rFonts w:ascii="Arial" w:hAnsi="Arial" w:cs="Arial"/>
                <w:sz w:val="22"/>
                <w:szCs w:val="22"/>
              </w:rPr>
              <w:t xml:space="preserve"> across health and care services, working closely with Social Prescribing Link Workers, Health and Wellbeing Coaches and other primary care professionals </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Work with the GPs and other primary care professionals within the PCN to identify and manage a caseload of patients and, whe</w:t>
            </w:r>
            <w:r>
              <w:rPr>
                <w:rFonts w:ascii="Arial" w:hAnsi="Arial" w:cs="Arial"/>
                <w:sz w:val="22"/>
                <w:szCs w:val="22"/>
              </w:rPr>
              <w:t>n</w:t>
            </w:r>
            <w:r w:rsidRPr="002851D0">
              <w:rPr>
                <w:rFonts w:ascii="Arial" w:hAnsi="Arial" w:cs="Arial"/>
                <w:sz w:val="22"/>
                <w:szCs w:val="22"/>
              </w:rPr>
              <w:t xml:space="preserve"> required and as appropriate, refer people back to other health professionals within the PCN</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Raise awareness within the PCN of shared decision making and decision support tools</w:t>
            </w:r>
          </w:p>
          <w:p w:rsidR="00D917FA" w:rsidRPr="002851D0" w:rsidRDefault="00D917FA" w:rsidP="00A914C1">
            <w:pPr>
              <w:rPr>
                <w:rFonts w:ascii="Arial" w:hAnsi="Arial" w:cs="Arial"/>
                <w:sz w:val="22"/>
                <w:szCs w:val="22"/>
              </w:rPr>
            </w:pPr>
          </w:p>
          <w:p w:rsidR="00D917FA"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Raise awareness of how to identify patients who may benefit from shared decision making and support PCN staff and patients to be more prepared to have shared decision-making conversations</w:t>
            </w:r>
          </w:p>
          <w:p w:rsidR="00D917FA" w:rsidRPr="009044DD" w:rsidRDefault="00D917FA" w:rsidP="00A914C1">
            <w:pPr>
              <w:pStyle w:val="ListParagraph"/>
              <w:rPr>
                <w:rFonts w:ascii="Arial" w:hAnsi="Arial" w:cs="Arial"/>
                <w:sz w:val="22"/>
                <w:szCs w:val="22"/>
              </w:rPr>
            </w:pPr>
          </w:p>
          <w:p w:rsidR="00D917FA" w:rsidRPr="00F532A5" w:rsidRDefault="00D917FA" w:rsidP="00D917FA">
            <w:pPr>
              <w:pStyle w:val="ListParagraph"/>
              <w:numPr>
                <w:ilvl w:val="0"/>
                <w:numId w:val="3"/>
              </w:numPr>
              <w:rPr>
                <w:rFonts w:ascii="Arial" w:hAnsi="Arial" w:cs="Arial"/>
                <w:sz w:val="22"/>
                <w:szCs w:val="22"/>
              </w:rPr>
            </w:pPr>
            <w:r>
              <w:rPr>
                <w:rFonts w:ascii="Arial" w:hAnsi="Arial" w:cs="Arial"/>
                <w:sz w:val="22"/>
                <w:szCs w:val="22"/>
              </w:rPr>
              <w:t>S</w:t>
            </w:r>
            <w:r w:rsidRPr="00F532A5">
              <w:rPr>
                <w:rFonts w:ascii="Arial" w:hAnsi="Arial" w:cs="Arial"/>
                <w:sz w:val="22"/>
                <w:szCs w:val="22"/>
              </w:rPr>
              <w:t>upport in the delivery of enhanced services and other service requirements on behalf of the PCN</w:t>
            </w:r>
          </w:p>
          <w:p w:rsidR="00D917FA" w:rsidRPr="002851D0" w:rsidRDefault="00D917FA" w:rsidP="00A914C1">
            <w:pPr>
              <w:rPr>
                <w:rFonts w:ascii="Arial" w:hAnsi="Arial" w:cs="Arial"/>
                <w:sz w:val="22"/>
                <w:szCs w:val="22"/>
              </w:rPr>
            </w:pPr>
          </w:p>
          <w:p w:rsidR="00D917FA" w:rsidRPr="00F532A5" w:rsidRDefault="00D917FA" w:rsidP="00D917FA">
            <w:pPr>
              <w:pStyle w:val="ListParagraph"/>
              <w:numPr>
                <w:ilvl w:val="0"/>
                <w:numId w:val="3"/>
              </w:numPr>
              <w:rPr>
                <w:rFonts w:ascii="Arial" w:hAnsi="Arial" w:cs="Arial"/>
                <w:sz w:val="22"/>
                <w:szCs w:val="22"/>
              </w:rPr>
            </w:pPr>
            <w:r>
              <w:rPr>
                <w:rFonts w:ascii="Arial" w:hAnsi="Arial" w:cs="Arial"/>
                <w:sz w:val="22"/>
                <w:szCs w:val="22"/>
              </w:rPr>
              <w:t>P</w:t>
            </w:r>
            <w:r w:rsidRPr="00F532A5">
              <w:rPr>
                <w:rFonts w:ascii="Arial" w:hAnsi="Arial" w:cs="Arial"/>
                <w:sz w:val="22"/>
                <w:szCs w:val="22"/>
              </w:rPr>
              <w:t>articipate in the management of patient complaints when requested to do so and participate in the identification of any necessary learning brought about through incidents and near-miss events</w:t>
            </w:r>
          </w:p>
          <w:p w:rsidR="00D917FA"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Support the coordination and delivery of MDTs within the PCN</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Undertake all mandatory training and induction programmes</w:t>
            </w:r>
          </w:p>
          <w:p w:rsidR="00D917FA" w:rsidRPr="009044DD"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 xml:space="preserve">Contribute to and embrace the spectrum of clinical governance </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 xml:space="preserve">Develop the </w:t>
            </w:r>
            <w:r>
              <w:rPr>
                <w:rFonts w:ascii="Arial" w:hAnsi="Arial" w:cs="Arial"/>
                <w:sz w:val="22"/>
                <w:szCs w:val="22"/>
              </w:rPr>
              <w:t>Patient Care Coordinator</w:t>
            </w:r>
            <w:r w:rsidRPr="002851D0">
              <w:rPr>
                <w:rFonts w:ascii="Arial" w:hAnsi="Arial" w:cs="Arial"/>
                <w:sz w:val="22"/>
                <w:szCs w:val="22"/>
              </w:rPr>
              <w:t xml:space="preserve"> role through participation in training and service redesign activities</w:t>
            </w:r>
          </w:p>
          <w:p w:rsidR="00D917FA" w:rsidRPr="002851D0" w:rsidRDefault="00D917FA" w:rsidP="00A914C1">
            <w:pPr>
              <w:pStyle w:val="ListParagraph"/>
              <w:rPr>
                <w:rFonts w:ascii="Arial" w:hAnsi="Arial" w:cs="Arial"/>
                <w:sz w:val="22"/>
                <w:szCs w:val="22"/>
              </w:rPr>
            </w:pPr>
          </w:p>
          <w:p w:rsidR="00D917FA" w:rsidRPr="002851D0"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Attend a formal appraisal with their manager at least every 12 months. Once a performance/training objective has been set, progress will be reviewed on a regular basis so that new objectives can be agreed</w:t>
            </w:r>
          </w:p>
          <w:p w:rsidR="00D917FA" w:rsidRPr="002851D0" w:rsidRDefault="00D917FA" w:rsidP="00A914C1">
            <w:pPr>
              <w:rPr>
                <w:rFonts w:ascii="Arial" w:hAnsi="Arial" w:cs="Arial"/>
                <w:sz w:val="22"/>
                <w:szCs w:val="22"/>
              </w:rPr>
            </w:pPr>
          </w:p>
          <w:p w:rsidR="00D917FA" w:rsidRDefault="00D917FA" w:rsidP="00D917FA">
            <w:pPr>
              <w:pStyle w:val="ListParagraph"/>
              <w:numPr>
                <w:ilvl w:val="0"/>
                <w:numId w:val="3"/>
              </w:numPr>
              <w:rPr>
                <w:rFonts w:ascii="Arial" w:hAnsi="Arial" w:cs="Arial"/>
                <w:sz w:val="22"/>
                <w:szCs w:val="22"/>
              </w:rPr>
            </w:pPr>
            <w:r w:rsidRPr="002851D0">
              <w:rPr>
                <w:rFonts w:ascii="Arial" w:hAnsi="Arial" w:cs="Arial"/>
                <w:sz w:val="22"/>
                <w:szCs w:val="22"/>
              </w:rPr>
              <w:t>Maintain a clean, tidy, effective working area at all times</w:t>
            </w:r>
          </w:p>
          <w:p w:rsidR="00D917FA" w:rsidRPr="002851D0" w:rsidRDefault="00D917FA" w:rsidP="00A914C1">
            <w:pPr>
              <w:pStyle w:val="ListParagraph"/>
              <w:rPr>
                <w:rFonts w:ascii="Arial" w:hAnsi="Arial" w:cs="Arial"/>
                <w:sz w:val="22"/>
                <w:szCs w:val="22"/>
              </w:rPr>
            </w:pPr>
          </w:p>
          <w:p w:rsidR="00D917FA" w:rsidRPr="002851D0" w:rsidRDefault="00D917FA" w:rsidP="00A914C1">
            <w:pPr>
              <w:rPr>
                <w:rFonts w:ascii="Arial" w:hAnsi="Arial" w:cs="Arial"/>
                <w:sz w:val="22"/>
                <w:szCs w:val="22"/>
              </w:rPr>
            </w:pPr>
            <w:r w:rsidRPr="00FE3A02">
              <w:rPr>
                <w:rFonts w:ascii="Arial" w:hAnsi="Arial" w:cs="Arial"/>
                <w:sz w:val="22"/>
                <w:szCs w:val="22"/>
                <w:lang w:eastAsia="en-US"/>
              </w:rPr>
              <w:t xml:space="preserve">Further guidance to support this role can be found at Annex B (section B5) of the </w:t>
            </w:r>
            <w:hyperlink r:id="rId14">
              <w:r>
                <w:rPr>
                  <w:rStyle w:val="Hyperlink"/>
                  <w:rFonts w:ascii="Arial" w:eastAsiaTheme="majorEastAsia" w:hAnsi="Arial" w:cs="Arial"/>
                  <w:sz w:val="22"/>
                  <w:szCs w:val="22"/>
                </w:rPr>
                <w:t>Network Contract Agreement DES Specification PCN Requirements and Entitlements 2025/26</w:t>
              </w:r>
            </w:hyperlink>
            <w:r w:rsidRPr="00FE3A02">
              <w:rPr>
                <w:rFonts w:ascii="Arial" w:hAnsi="Arial" w:cs="Arial"/>
                <w:sz w:val="22"/>
                <w:szCs w:val="22"/>
              </w:rPr>
              <w:t>.</w:t>
            </w:r>
          </w:p>
          <w:p w:rsidR="00D917FA" w:rsidRPr="00B13825" w:rsidRDefault="00D917FA" w:rsidP="00A914C1">
            <w:pPr>
              <w:spacing w:after="60"/>
              <w:rPr>
                <w:sz w:val="22"/>
                <w:szCs w:val="22"/>
              </w:rPr>
            </w:pPr>
          </w:p>
        </w:tc>
      </w:tr>
      <w:tr w:rsidR="00D917FA" w:rsidRPr="00390E03" w:rsidTr="00A914C1">
        <w:tc>
          <w:tcPr>
            <w:tcW w:w="9067" w:type="dxa"/>
            <w:shd w:val="clear" w:color="auto" w:fill="A5B592" w:themeFill="accent1"/>
          </w:tcPr>
          <w:p w:rsidR="00D917FA" w:rsidRPr="002E6BDD" w:rsidRDefault="00D917FA" w:rsidP="00A914C1">
            <w:pPr>
              <w:spacing w:before="120" w:after="120"/>
              <w:rPr>
                <w:rFonts w:ascii="Arial" w:hAnsi="Arial" w:cs="Arial"/>
                <w:b/>
                <w:bCs/>
                <w:color w:val="FFFFFF" w:themeColor="background1"/>
              </w:rPr>
            </w:pPr>
            <w:r w:rsidRPr="002E6BDD">
              <w:rPr>
                <w:rFonts w:ascii="Arial" w:hAnsi="Arial" w:cs="Arial"/>
                <w:b/>
                <w:bCs/>
                <w:color w:val="FFFFFF" w:themeColor="background1"/>
              </w:rPr>
              <w:lastRenderedPageBreak/>
              <w:t>Wider responsibilities</w:t>
            </w:r>
          </w:p>
        </w:tc>
      </w:tr>
      <w:tr w:rsidR="00D917FA" w:rsidRPr="00CE0181" w:rsidTr="00A914C1">
        <w:trPr>
          <w:trHeight w:val="2465"/>
        </w:trPr>
        <w:tc>
          <w:tcPr>
            <w:tcW w:w="9067" w:type="dxa"/>
          </w:tcPr>
          <w:p w:rsidR="00D917FA" w:rsidRDefault="00D917FA" w:rsidP="00A914C1">
            <w:pPr>
              <w:spacing w:before="60"/>
              <w:rPr>
                <w:rFonts w:ascii="Arial" w:hAnsi="Arial" w:cs="Arial"/>
                <w:sz w:val="22"/>
                <w:szCs w:val="22"/>
              </w:rPr>
            </w:pPr>
            <w:r w:rsidRPr="00390E03">
              <w:rPr>
                <w:rFonts w:ascii="Arial" w:hAnsi="Arial" w:cs="Arial"/>
                <w:sz w:val="22"/>
                <w:szCs w:val="22"/>
              </w:rPr>
              <w:t xml:space="preserve">In addition to the primary responsibilities, the </w:t>
            </w:r>
            <w:r>
              <w:rPr>
                <w:rFonts w:ascii="Arial" w:hAnsi="Arial" w:cs="Arial"/>
                <w:sz w:val="22"/>
                <w:szCs w:val="22"/>
              </w:rPr>
              <w:t>Patient Care Coordinator</w:t>
            </w:r>
            <w:r w:rsidRPr="00390E03">
              <w:rPr>
                <w:rFonts w:ascii="Arial" w:hAnsi="Arial" w:cs="Arial"/>
                <w:sz w:val="22"/>
                <w:szCs w:val="22"/>
              </w:rPr>
              <w:t xml:space="preserve"> has the following wider responsibilities:</w:t>
            </w:r>
          </w:p>
          <w:p w:rsidR="00D917FA" w:rsidRPr="00824A1E" w:rsidRDefault="00D917FA" w:rsidP="00A914C1">
            <w:pPr>
              <w:pStyle w:val="ListParagraph"/>
              <w:rPr>
                <w:rFonts w:ascii="Arial" w:hAnsi="Arial" w:cs="Arial"/>
                <w:sz w:val="22"/>
                <w:szCs w:val="22"/>
              </w:rPr>
            </w:pPr>
          </w:p>
          <w:p w:rsidR="00D917FA" w:rsidRPr="003F71CB" w:rsidRDefault="00D917FA" w:rsidP="00D917FA">
            <w:pPr>
              <w:pStyle w:val="ListParagraph"/>
              <w:widowControl w:val="0"/>
              <w:numPr>
                <w:ilvl w:val="0"/>
                <w:numId w:val="4"/>
              </w:numPr>
              <w:suppressAutoHyphens/>
              <w:rPr>
                <w:rFonts w:ascii="Arial" w:hAnsi="Arial" w:cs="Arial"/>
                <w:sz w:val="22"/>
                <w:szCs w:val="22"/>
              </w:rPr>
            </w:pPr>
            <w:r w:rsidRPr="00F51FBB">
              <w:rPr>
                <w:rFonts w:ascii="Arial" w:hAnsi="Arial" w:cs="Arial"/>
                <w:sz w:val="22"/>
                <w:szCs w:val="22"/>
              </w:rPr>
              <w:t xml:space="preserve">Support </w:t>
            </w:r>
            <w:r>
              <w:rPr>
                <w:rFonts w:ascii="Arial" w:hAnsi="Arial" w:cs="Arial"/>
                <w:sz w:val="22"/>
                <w:szCs w:val="22"/>
              </w:rPr>
              <w:t xml:space="preserve">the </w:t>
            </w:r>
            <w:r w:rsidRPr="00F51FBB">
              <w:rPr>
                <w:rFonts w:ascii="Arial" w:hAnsi="Arial" w:cs="Arial"/>
                <w:sz w:val="22"/>
                <w:szCs w:val="22"/>
              </w:rPr>
              <w:t>delivery of QOF, incentive schemes, QIPP and other quality or cost effectiveness initiatives</w:t>
            </w:r>
          </w:p>
          <w:p w:rsidR="00D917FA" w:rsidRPr="00D212B1" w:rsidRDefault="00D917FA" w:rsidP="00A914C1">
            <w:pPr>
              <w:rPr>
                <w:rFonts w:ascii="Arial" w:hAnsi="Arial" w:cs="Arial"/>
                <w:sz w:val="22"/>
                <w:szCs w:val="22"/>
              </w:rPr>
            </w:pPr>
          </w:p>
          <w:p w:rsidR="00D917FA" w:rsidRPr="002851D0" w:rsidRDefault="00D917FA" w:rsidP="00D917FA">
            <w:pPr>
              <w:pStyle w:val="ListParagraph"/>
              <w:numPr>
                <w:ilvl w:val="0"/>
                <w:numId w:val="5"/>
              </w:numPr>
              <w:rPr>
                <w:rFonts w:ascii="Arial" w:hAnsi="Arial" w:cs="Arial"/>
                <w:sz w:val="22"/>
                <w:szCs w:val="22"/>
              </w:rPr>
            </w:pPr>
            <w:r w:rsidRPr="002851D0">
              <w:rPr>
                <w:rFonts w:ascii="Arial" w:hAnsi="Arial" w:cs="Arial"/>
                <w:sz w:val="22"/>
                <w:szCs w:val="22"/>
              </w:rPr>
              <w:t>Undertake any tasks consistent with the level of the post and the scope of the role, ensuring that work is delivered in a timely and effective manner</w:t>
            </w:r>
          </w:p>
          <w:p w:rsidR="00D917FA" w:rsidRPr="002851D0" w:rsidRDefault="00D917FA" w:rsidP="00A914C1">
            <w:pPr>
              <w:rPr>
                <w:rFonts w:ascii="Arial" w:hAnsi="Arial" w:cs="Arial"/>
                <w:sz w:val="22"/>
                <w:szCs w:val="22"/>
              </w:rPr>
            </w:pPr>
          </w:p>
          <w:p w:rsidR="00D917FA" w:rsidRPr="002851D0" w:rsidRDefault="00D917FA" w:rsidP="00D917FA">
            <w:pPr>
              <w:pStyle w:val="ListParagraph"/>
              <w:numPr>
                <w:ilvl w:val="0"/>
                <w:numId w:val="5"/>
              </w:numPr>
              <w:rPr>
                <w:rFonts w:ascii="Arial" w:hAnsi="Arial" w:cs="Arial"/>
                <w:sz w:val="22"/>
                <w:szCs w:val="22"/>
              </w:rPr>
            </w:pPr>
            <w:r w:rsidRPr="002851D0">
              <w:rPr>
                <w:rFonts w:ascii="Arial" w:hAnsi="Arial" w:cs="Arial"/>
                <w:sz w:val="22"/>
                <w:szCs w:val="22"/>
              </w:rPr>
              <w:lastRenderedPageBreak/>
              <w:t>Duties may vary from time to time without changing the general character of the post or the level of responsibility</w:t>
            </w:r>
          </w:p>
          <w:p w:rsidR="00D917FA" w:rsidRPr="0088468E" w:rsidRDefault="00D917FA" w:rsidP="00A914C1">
            <w:pPr>
              <w:widowControl w:val="0"/>
              <w:rPr>
                <w:rFonts w:ascii="Arial" w:hAnsi="Arial" w:cs="Arial"/>
                <w:sz w:val="22"/>
                <w:szCs w:val="22"/>
              </w:rPr>
            </w:pPr>
          </w:p>
          <w:p w:rsidR="00D917FA" w:rsidRPr="00D917FA" w:rsidRDefault="00D917FA" w:rsidP="00D917FA">
            <w:pPr>
              <w:widowControl w:val="0"/>
              <w:suppressAutoHyphens/>
              <w:rPr>
                <w:rFonts w:ascii="Arial" w:hAnsi="Arial" w:cs="Arial"/>
                <w:sz w:val="22"/>
                <w:szCs w:val="22"/>
              </w:rPr>
            </w:pPr>
            <w:r w:rsidRPr="00F51FBB">
              <w:rPr>
                <w:rFonts w:ascii="Arial" w:hAnsi="Arial" w:cs="Arial"/>
                <w:sz w:val="22"/>
                <w:szCs w:val="22"/>
              </w:rPr>
              <w:t>Duties may vary from time to time without changing the general character of the post or the level of responsibility</w:t>
            </w:r>
          </w:p>
        </w:tc>
      </w:tr>
    </w:tbl>
    <w:p w:rsidR="00D917FA" w:rsidRDefault="00D917FA" w:rsidP="00D917FA"/>
    <w:tbl>
      <w:tblPr>
        <w:tblStyle w:val="TableGrid"/>
        <w:tblW w:w="9067" w:type="dxa"/>
        <w:tblLook w:val="04A0" w:firstRow="1" w:lastRow="0" w:firstColumn="1" w:lastColumn="0" w:noHBand="0" w:noVBand="1"/>
      </w:tblPr>
      <w:tblGrid>
        <w:gridCol w:w="6123"/>
        <w:gridCol w:w="1408"/>
        <w:gridCol w:w="1536"/>
      </w:tblGrid>
      <w:tr w:rsidR="00D917FA" w:rsidRPr="000840D2" w:rsidTr="00A914C1">
        <w:trPr>
          <w:trHeight w:val="548"/>
        </w:trPr>
        <w:tc>
          <w:tcPr>
            <w:tcW w:w="9067" w:type="dxa"/>
            <w:gridSpan w:val="3"/>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 xml:space="preserve">Person specification – </w:t>
            </w:r>
            <w:r>
              <w:rPr>
                <w:rFonts w:ascii="Arial" w:hAnsi="Arial" w:cs="Arial"/>
                <w:b/>
                <w:color w:val="FFFFFF" w:themeColor="background1"/>
              </w:rPr>
              <w:t>PCN Patient Care Coordinator</w:t>
            </w:r>
          </w:p>
        </w:tc>
      </w:tr>
      <w:tr w:rsidR="00D917FA" w:rsidRPr="000840D2" w:rsidTr="00A914C1">
        <w:tc>
          <w:tcPr>
            <w:tcW w:w="6123" w:type="dxa"/>
            <w:tcBorders>
              <w:bottom w:val="single" w:sz="4" w:space="0" w:color="auto"/>
            </w:tcBorders>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Qualifications</w:t>
            </w:r>
          </w:p>
        </w:tc>
        <w:tc>
          <w:tcPr>
            <w:tcW w:w="1408" w:type="dxa"/>
            <w:tcBorders>
              <w:bottom w:val="single" w:sz="4" w:space="0" w:color="auto"/>
            </w:tcBorders>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tcBorders>
              <w:bottom w:val="single" w:sz="4" w:space="0" w:color="auto"/>
            </w:tcBorders>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D917FA" w:rsidTr="00A914C1">
        <w:trPr>
          <w:trHeight w:val="632"/>
        </w:trPr>
        <w:tc>
          <w:tcPr>
            <w:tcW w:w="6123" w:type="dxa"/>
            <w:tcBorders>
              <w:top w:val="single" w:sz="4" w:space="0" w:color="auto"/>
              <w:left w:val="single" w:sz="4" w:space="0" w:color="auto"/>
              <w:bottom w:val="single" w:sz="4" w:space="0" w:color="auto"/>
              <w:right w:val="single" w:sz="4" w:space="0" w:color="auto"/>
            </w:tcBorders>
          </w:tcPr>
          <w:p w:rsidR="00D917FA" w:rsidRPr="009044DD" w:rsidRDefault="00D917FA" w:rsidP="00A914C1">
            <w:pPr>
              <w:tabs>
                <w:tab w:val="left" w:pos="1632"/>
              </w:tabs>
              <w:spacing w:before="60" w:after="60"/>
              <w:rPr>
                <w:rFonts w:ascii="Arial" w:hAnsi="Arial" w:cs="Arial"/>
                <w:sz w:val="22"/>
                <w:szCs w:val="22"/>
                <w:highlight w:val="yellow"/>
              </w:rPr>
            </w:pPr>
            <w:r w:rsidRPr="00E0583A">
              <w:rPr>
                <w:rFonts w:ascii="Arial" w:hAnsi="Arial" w:cs="Arial"/>
                <w:sz w:val="22"/>
                <w:szCs w:val="22"/>
              </w:rPr>
              <w:t xml:space="preserve">Is enrolled in, undertaking or has qualified in appropriate level of training as set out by the </w:t>
            </w:r>
            <w:hyperlink r:id="rId15" w:history="1">
              <w:r w:rsidRPr="00E0583A">
                <w:rPr>
                  <w:rStyle w:val="Hyperlink"/>
                  <w:rFonts w:ascii="Arial" w:hAnsi="Arial" w:cs="Arial"/>
                  <w:sz w:val="22"/>
                  <w:szCs w:val="22"/>
                </w:rPr>
                <w:t>Personalised Care Institute</w:t>
              </w:r>
            </w:hyperlink>
          </w:p>
        </w:tc>
        <w:tc>
          <w:tcPr>
            <w:tcW w:w="1408" w:type="dxa"/>
            <w:tcBorders>
              <w:top w:val="single" w:sz="4" w:space="0" w:color="auto"/>
              <w:left w:val="single" w:sz="4" w:space="0" w:color="auto"/>
              <w:bottom w:val="single" w:sz="4" w:space="0" w:color="auto"/>
              <w:right w:val="single" w:sz="4" w:space="0" w:color="auto"/>
            </w:tcBorders>
          </w:tcPr>
          <w:p w:rsidR="00D917FA" w:rsidRPr="00AC4184" w:rsidRDefault="00D917FA" w:rsidP="00A914C1">
            <w:pPr>
              <w:tabs>
                <w:tab w:val="left" w:pos="1632"/>
              </w:tabs>
              <w:spacing w:before="60" w:after="60"/>
              <w:jc w:val="center"/>
              <w:rPr>
                <w:rFonts w:ascii="Arial" w:hAnsi="Arial" w:cs="Arial"/>
                <w:sz w:val="22"/>
                <w:szCs w:val="22"/>
              </w:rPr>
            </w:pPr>
            <w:r w:rsidRPr="00E0583A">
              <w:rPr>
                <w:rFonts w:ascii="Arial" w:hAnsi="Arial" w:cs="Arial"/>
                <w:sz w:val="22"/>
                <w:szCs w:val="22"/>
              </w:rPr>
              <w:sym w:font="Wingdings" w:char="F0FC"/>
            </w:r>
          </w:p>
        </w:tc>
        <w:tc>
          <w:tcPr>
            <w:tcW w:w="1536" w:type="dxa"/>
            <w:tcBorders>
              <w:top w:val="single" w:sz="4" w:space="0" w:color="auto"/>
              <w:left w:val="single" w:sz="4" w:space="0" w:color="auto"/>
              <w:bottom w:val="single" w:sz="4" w:space="0" w:color="auto"/>
              <w:right w:val="single" w:sz="4" w:space="0" w:color="auto"/>
            </w:tcBorders>
          </w:tcPr>
          <w:p w:rsidR="00D917FA" w:rsidRDefault="00D917FA" w:rsidP="00A914C1">
            <w:pPr>
              <w:tabs>
                <w:tab w:val="left" w:pos="1632"/>
              </w:tabs>
              <w:spacing w:before="60" w:after="60"/>
              <w:jc w:val="center"/>
              <w:rPr>
                <w:rFonts w:ascii="Arial" w:hAnsi="Arial" w:cs="Arial"/>
                <w:sz w:val="22"/>
                <w:szCs w:val="22"/>
              </w:rPr>
            </w:pPr>
          </w:p>
        </w:tc>
      </w:tr>
      <w:tr w:rsidR="00D917FA" w:rsidTr="00A914C1">
        <w:trPr>
          <w:trHeight w:val="490"/>
        </w:trPr>
        <w:tc>
          <w:tcPr>
            <w:tcW w:w="6123" w:type="dxa"/>
            <w:tcBorders>
              <w:top w:val="single" w:sz="4" w:space="0" w:color="auto"/>
              <w:left w:val="single" w:sz="4" w:space="0" w:color="auto"/>
              <w:bottom w:val="single" w:sz="4" w:space="0" w:color="auto"/>
              <w:right w:val="single" w:sz="4" w:space="0" w:color="auto"/>
            </w:tcBorders>
          </w:tcPr>
          <w:p w:rsidR="00D917FA" w:rsidRPr="00E0583A" w:rsidRDefault="00D917FA" w:rsidP="00A914C1">
            <w:pPr>
              <w:rPr>
                <w:rFonts w:ascii="Arial" w:hAnsi="Arial" w:cs="Arial"/>
                <w:sz w:val="22"/>
                <w:szCs w:val="22"/>
              </w:rPr>
            </w:pPr>
            <w:r w:rsidRPr="00E0583A">
              <w:rPr>
                <w:rFonts w:ascii="Arial" w:hAnsi="Arial" w:cs="Arial"/>
                <w:sz w:val="22"/>
                <w:szCs w:val="22"/>
              </w:rPr>
              <w:t xml:space="preserve">A good standard of education with an expectation of having both GCSE </w:t>
            </w:r>
            <w:proofErr w:type="spellStart"/>
            <w:r w:rsidRPr="00E0583A">
              <w:rPr>
                <w:rFonts w:ascii="Arial" w:hAnsi="Arial" w:cs="Arial"/>
                <w:sz w:val="22"/>
                <w:szCs w:val="22"/>
              </w:rPr>
              <w:t>Maths</w:t>
            </w:r>
            <w:proofErr w:type="spellEnd"/>
            <w:r w:rsidRPr="00E0583A">
              <w:rPr>
                <w:rFonts w:ascii="Arial" w:hAnsi="Arial" w:cs="Arial"/>
                <w:sz w:val="22"/>
                <w:szCs w:val="22"/>
              </w:rPr>
              <w:t xml:space="preserve"> and English at Grade C or above, or Functional Skills Level 2 in </w:t>
            </w:r>
            <w:proofErr w:type="spellStart"/>
            <w:r w:rsidRPr="00E0583A">
              <w:rPr>
                <w:rFonts w:ascii="Arial" w:hAnsi="Arial" w:cs="Arial"/>
                <w:sz w:val="22"/>
                <w:szCs w:val="22"/>
              </w:rPr>
              <w:t>Maths</w:t>
            </w:r>
            <w:proofErr w:type="spellEnd"/>
            <w:r w:rsidRPr="00E0583A">
              <w:rPr>
                <w:rFonts w:ascii="Arial" w:hAnsi="Arial" w:cs="Arial"/>
                <w:sz w:val="22"/>
                <w:szCs w:val="22"/>
              </w:rPr>
              <w:t xml:space="preserve"> and English</w:t>
            </w:r>
          </w:p>
        </w:tc>
        <w:tc>
          <w:tcPr>
            <w:tcW w:w="1408" w:type="dxa"/>
            <w:tcBorders>
              <w:top w:val="single" w:sz="4" w:space="0" w:color="auto"/>
              <w:left w:val="single" w:sz="4" w:space="0" w:color="auto"/>
              <w:bottom w:val="single" w:sz="4" w:space="0" w:color="auto"/>
              <w:right w:val="single" w:sz="4" w:space="0" w:color="auto"/>
            </w:tcBorders>
          </w:tcPr>
          <w:p w:rsidR="00D917FA" w:rsidRPr="00AC4184" w:rsidRDefault="00D917FA" w:rsidP="00A914C1">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Borders>
              <w:top w:val="single" w:sz="4" w:space="0" w:color="auto"/>
              <w:left w:val="single" w:sz="4" w:space="0" w:color="auto"/>
              <w:bottom w:val="single" w:sz="4" w:space="0" w:color="auto"/>
              <w:right w:val="single" w:sz="4" w:space="0" w:color="auto"/>
            </w:tcBorders>
          </w:tcPr>
          <w:p w:rsidR="00D917FA" w:rsidRDefault="00D917FA" w:rsidP="00A914C1">
            <w:pPr>
              <w:tabs>
                <w:tab w:val="left" w:pos="1632"/>
              </w:tabs>
              <w:spacing w:before="60" w:after="60"/>
              <w:rPr>
                <w:rFonts w:ascii="Arial" w:hAnsi="Arial" w:cs="Arial"/>
                <w:sz w:val="22"/>
                <w:szCs w:val="22"/>
              </w:rPr>
            </w:pPr>
          </w:p>
        </w:tc>
      </w:tr>
      <w:tr w:rsidR="00D917FA" w:rsidTr="00A914C1">
        <w:trPr>
          <w:trHeight w:val="490"/>
        </w:trPr>
        <w:tc>
          <w:tcPr>
            <w:tcW w:w="6123" w:type="dxa"/>
            <w:tcBorders>
              <w:top w:val="single" w:sz="4" w:space="0" w:color="auto"/>
              <w:left w:val="single" w:sz="4" w:space="0" w:color="auto"/>
              <w:bottom w:val="single" w:sz="4" w:space="0" w:color="auto"/>
              <w:right w:val="single" w:sz="4" w:space="0" w:color="auto"/>
            </w:tcBorders>
          </w:tcPr>
          <w:p w:rsidR="00D917FA" w:rsidRPr="00E0583A" w:rsidRDefault="00D917FA" w:rsidP="00A914C1">
            <w:pPr>
              <w:rPr>
                <w:rFonts w:ascii="Arial" w:hAnsi="Arial" w:cs="Arial"/>
                <w:sz w:val="22"/>
                <w:szCs w:val="22"/>
              </w:rPr>
            </w:pPr>
            <w:r w:rsidRPr="00E0583A">
              <w:rPr>
                <w:rFonts w:ascii="Arial" w:hAnsi="Arial" w:cs="Arial"/>
                <w:sz w:val="22"/>
                <w:szCs w:val="22"/>
              </w:rPr>
              <w:t>NVQ Level 2 in Health and Social Care</w:t>
            </w:r>
          </w:p>
        </w:tc>
        <w:tc>
          <w:tcPr>
            <w:tcW w:w="1408" w:type="dxa"/>
            <w:tcBorders>
              <w:top w:val="single" w:sz="4" w:space="0" w:color="auto"/>
              <w:left w:val="single" w:sz="4" w:space="0" w:color="auto"/>
              <w:bottom w:val="single" w:sz="4" w:space="0" w:color="auto"/>
              <w:right w:val="single" w:sz="4" w:space="0" w:color="auto"/>
            </w:tcBorders>
          </w:tcPr>
          <w:p w:rsidR="00D917FA" w:rsidRPr="00AC4184" w:rsidRDefault="00D917FA" w:rsidP="00A914C1">
            <w:pPr>
              <w:tabs>
                <w:tab w:val="left" w:pos="1632"/>
              </w:tabs>
              <w:spacing w:before="60" w:after="60"/>
              <w:jc w:val="center"/>
              <w:rPr>
                <w:rFonts w:ascii="Arial" w:hAnsi="Arial" w:cs="Arial"/>
                <w:sz w:val="22"/>
                <w:szCs w:val="22"/>
              </w:rPr>
            </w:pPr>
          </w:p>
        </w:tc>
        <w:tc>
          <w:tcPr>
            <w:tcW w:w="1536" w:type="dxa"/>
            <w:tcBorders>
              <w:top w:val="single" w:sz="4" w:space="0" w:color="auto"/>
              <w:left w:val="single" w:sz="4" w:space="0" w:color="auto"/>
              <w:bottom w:val="single" w:sz="4" w:space="0" w:color="auto"/>
              <w:right w:val="single" w:sz="4" w:space="0" w:color="auto"/>
            </w:tcBorders>
          </w:tcPr>
          <w:p w:rsidR="00D917FA" w:rsidRDefault="00D917FA" w:rsidP="00A914C1">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r>
      <w:tr w:rsidR="00D917FA" w:rsidRPr="000840D2" w:rsidTr="00A914C1">
        <w:tc>
          <w:tcPr>
            <w:tcW w:w="6123" w:type="dxa"/>
            <w:tcBorders>
              <w:top w:val="nil"/>
            </w:tcBorders>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Experience</w:t>
            </w:r>
          </w:p>
        </w:tc>
        <w:tc>
          <w:tcPr>
            <w:tcW w:w="1408" w:type="dxa"/>
            <w:tcBorders>
              <w:top w:val="nil"/>
            </w:tcBorders>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tcBorders>
              <w:top w:val="nil"/>
            </w:tcBorders>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D917FA" w:rsidTr="00A914C1">
        <w:trPr>
          <w:trHeight w:val="338"/>
        </w:trPr>
        <w:tc>
          <w:tcPr>
            <w:tcW w:w="6123" w:type="dxa"/>
          </w:tcPr>
          <w:p w:rsidR="00D917FA" w:rsidRPr="00923EE9"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Experience of working with the general public</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RPr="000840D2" w:rsidTr="00A914C1">
        <w:trPr>
          <w:trHeight w:val="338"/>
        </w:trPr>
        <w:tc>
          <w:tcPr>
            <w:tcW w:w="6123" w:type="dxa"/>
          </w:tcPr>
          <w:p w:rsidR="00D917FA" w:rsidRPr="00923EE9" w:rsidRDefault="00D917FA" w:rsidP="00A914C1">
            <w:pPr>
              <w:tabs>
                <w:tab w:val="left" w:pos="1632"/>
              </w:tabs>
              <w:spacing w:before="60" w:after="60"/>
              <w:rPr>
                <w:rFonts w:ascii="Arial" w:hAnsi="Arial" w:cs="Arial"/>
                <w:sz w:val="22"/>
                <w:szCs w:val="22"/>
              </w:rPr>
            </w:pPr>
            <w:r w:rsidRPr="00AC4184">
              <w:rPr>
                <w:rFonts w:ascii="Arial" w:hAnsi="Arial" w:cs="Arial"/>
                <w:sz w:val="22"/>
                <w:szCs w:val="22"/>
              </w:rPr>
              <w:t xml:space="preserve">Experience </w:t>
            </w:r>
            <w:r>
              <w:rPr>
                <w:rFonts w:ascii="Arial" w:hAnsi="Arial" w:cs="Arial"/>
                <w:sz w:val="22"/>
                <w:szCs w:val="22"/>
              </w:rPr>
              <w:t>of working</w:t>
            </w:r>
            <w:r w:rsidRPr="00AC4184">
              <w:rPr>
                <w:rFonts w:ascii="Arial" w:hAnsi="Arial" w:cs="Arial"/>
                <w:sz w:val="22"/>
                <w:szCs w:val="22"/>
              </w:rPr>
              <w:t xml:space="preserve"> in</w:t>
            </w:r>
            <w:r>
              <w:rPr>
                <w:rFonts w:ascii="Arial" w:hAnsi="Arial" w:cs="Arial"/>
                <w:sz w:val="22"/>
                <w:szCs w:val="22"/>
              </w:rPr>
              <w:t xml:space="preserve"> a</w:t>
            </w:r>
            <w:r w:rsidRPr="00AC4184">
              <w:rPr>
                <w:rFonts w:ascii="Arial" w:hAnsi="Arial" w:cs="Arial"/>
                <w:sz w:val="22"/>
                <w:szCs w:val="22"/>
              </w:rPr>
              <w:t xml:space="preserve"> </w:t>
            </w:r>
            <w:r w:rsidRPr="00790E2F">
              <w:rPr>
                <w:rFonts w:ascii="Arial" w:hAnsi="Arial" w:cs="Arial"/>
                <w:sz w:val="22"/>
                <w:szCs w:val="22"/>
              </w:rPr>
              <w:t>healthcare setting</w:t>
            </w:r>
            <w:r w:rsidRPr="00AC4184" w:rsidDel="00E0583A">
              <w:rPr>
                <w:rFonts w:ascii="Arial" w:hAnsi="Arial" w:cs="Arial"/>
                <w:sz w:val="22"/>
                <w:szCs w:val="22"/>
              </w:rPr>
              <w:t xml:space="preserve"> </w:t>
            </w:r>
          </w:p>
        </w:tc>
        <w:tc>
          <w:tcPr>
            <w:tcW w:w="1408" w:type="dxa"/>
            <w:vAlign w:val="center"/>
          </w:tcPr>
          <w:p w:rsidR="00D917FA" w:rsidRPr="00923EE9" w:rsidRDefault="00D917FA" w:rsidP="00A914C1">
            <w:pPr>
              <w:tabs>
                <w:tab w:val="left" w:pos="1632"/>
              </w:tabs>
              <w:spacing w:before="60" w:after="60"/>
              <w:jc w:val="center"/>
              <w:rPr>
                <w:rFonts w:ascii="Arial" w:hAnsi="Arial" w:cs="Arial"/>
                <w:sz w:val="22"/>
                <w:szCs w:val="22"/>
              </w:rPr>
            </w:pPr>
          </w:p>
        </w:tc>
        <w:tc>
          <w:tcPr>
            <w:tcW w:w="1536" w:type="dxa"/>
            <w:vAlign w:val="center"/>
          </w:tcPr>
          <w:p w:rsidR="00D917FA" w:rsidRPr="00923EE9" w:rsidRDefault="00D917FA" w:rsidP="00A914C1">
            <w:pPr>
              <w:tabs>
                <w:tab w:val="left" w:pos="1632"/>
              </w:tabs>
              <w:spacing w:before="60" w:after="60"/>
              <w:jc w:val="center"/>
              <w:rPr>
                <w:rFonts w:ascii="Arial" w:hAnsi="Arial" w:cs="Arial"/>
                <w:sz w:val="22"/>
                <w:szCs w:val="22"/>
              </w:rPr>
            </w:pPr>
            <w:r w:rsidRPr="00923EE9">
              <w:rPr>
                <w:rFonts w:ascii="Arial" w:hAnsi="Arial" w:cs="Arial"/>
                <w:sz w:val="22"/>
                <w:szCs w:val="22"/>
              </w:rPr>
              <w:sym w:font="Wingdings" w:char="F0FC"/>
            </w:r>
          </w:p>
        </w:tc>
      </w:tr>
      <w:tr w:rsidR="00D917FA" w:rsidTr="00A914C1">
        <w:trPr>
          <w:trHeight w:val="338"/>
        </w:trPr>
        <w:tc>
          <w:tcPr>
            <w:tcW w:w="6123" w:type="dxa"/>
          </w:tcPr>
          <w:p w:rsidR="00D917FA" w:rsidRPr="00923EE9" w:rsidRDefault="00D917FA" w:rsidP="00A914C1">
            <w:pPr>
              <w:tabs>
                <w:tab w:val="left" w:pos="1632"/>
              </w:tabs>
              <w:spacing w:before="60" w:after="60"/>
              <w:rPr>
                <w:rFonts w:ascii="Arial" w:hAnsi="Arial" w:cs="Arial"/>
                <w:sz w:val="22"/>
                <w:szCs w:val="22"/>
              </w:rPr>
            </w:pPr>
            <w:r>
              <w:rPr>
                <w:rFonts w:ascii="Arial" w:hAnsi="Arial" w:cs="Arial"/>
                <w:sz w:val="22"/>
                <w:szCs w:val="22"/>
              </w:rPr>
              <w:t>Experience of administrative duties</w:t>
            </w:r>
          </w:p>
        </w:tc>
        <w:tc>
          <w:tcPr>
            <w:tcW w:w="1408" w:type="dxa"/>
            <w:vAlign w:val="center"/>
          </w:tcPr>
          <w:p w:rsidR="00D917FA" w:rsidRDefault="00D917FA" w:rsidP="00A914C1">
            <w:pPr>
              <w:tabs>
                <w:tab w:val="left" w:pos="1632"/>
              </w:tabs>
              <w:spacing w:before="60" w:after="60"/>
              <w:jc w:val="center"/>
              <w:rPr>
                <w:rFonts w:ascii="Arial" w:hAnsi="Arial" w:cs="Arial"/>
                <w:sz w:val="22"/>
                <w:szCs w:val="22"/>
              </w:rPr>
            </w:pP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724EEB">
              <w:rPr>
                <w:rFonts w:ascii="Arial" w:hAnsi="Arial" w:cs="Arial"/>
                <w:sz w:val="22"/>
                <w:szCs w:val="22"/>
              </w:rPr>
              <w:sym w:font="Wingdings" w:char="F0FC"/>
            </w:r>
          </w:p>
        </w:tc>
      </w:tr>
      <w:tr w:rsidR="00D917FA" w:rsidRPr="000840D2" w:rsidTr="00A914C1">
        <w:tc>
          <w:tcPr>
            <w:tcW w:w="6123"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Pr>
                <w:rFonts w:ascii="Arial" w:hAnsi="Arial" w:cs="Arial"/>
                <w:b/>
                <w:color w:val="FFFFFF" w:themeColor="background1"/>
              </w:rPr>
              <w:t>Knowledge and sk</w:t>
            </w:r>
            <w:r w:rsidRPr="002D59C4">
              <w:rPr>
                <w:rFonts w:ascii="Arial" w:hAnsi="Arial" w:cs="Arial"/>
                <w:b/>
                <w:color w:val="FFFFFF" w:themeColor="background1"/>
              </w:rPr>
              <w:t>ills</w:t>
            </w:r>
          </w:p>
        </w:tc>
        <w:tc>
          <w:tcPr>
            <w:tcW w:w="1408" w:type="dxa"/>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D917FA" w:rsidTr="00A914C1">
        <w:tc>
          <w:tcPr>
            <w:tcW w:w="6123" w:type="dxa"/>
          </w:tcPr>
          <w:p w:rsidR="00D917FA" w:rsidRPr="00E77E35"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Excellent communication skills and effective in communicating and understanding patient needs</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Competent in the use of MS Office and Outlook</w:t>
            </w:r>
            <w:r w:rsidRPr="00790E2F" w:rsidDel="00A46086">
              <w:rPr>
                <w:rFonts w:ascii="Arial" w:hAnsi="Arial" w:cs="Arial"/>
                <w:sz w:val="22"/>
                <w:szCs w:val="22"/>
              </w:rPr>
              <w:t xml:space="preserve"> </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Default="00D917FA" w:rsidP="00A914C1">
            <w:pPr>
              <w:tabs>
                <w:tab w:val="left" w:pos="1632"/>
              </w:tabs>
              <w:spacing w:before="60" w:after="60"/>
              <w:rPr>
                <w:rFonts w:ascii="Arial" w:hAnsi="Arial" w:cs="Arial"/>
                <w:sz w:val="22"/>
                <w:szCs w:val="22"/>
              </w:rPr>
            </w:pPr>
            <w:r w:rsidRPr="0080647D">
              <w:rPr>
                <w:rFonts w:ascii="Arial" w:hAnsi="Arial" w:cs="Arial"/>
                <w:sz w:val="22"/>
                <w:szCs w:val="22"/>
              </w:rPr>
              <w:t xml:space="preserve">Experience in use of the </w:t>
            </w:r>
            <w:hyperlink r:id="rId16" w:history="1">
              <w:r>
                <w:rPr>
                  <w:rStyle w:val="Hyperlink"/>
                  <w:rFonts w:ascii="Arial" w:hAnsi="Arial" w:cs="Arial"/>
                  <w:sz w:val="22"/>
                  <w:szCs w:val="22"/>
                </w:rPr>
                <w:t>Patient Activation Measure</w:t>
              </w:r>
            </w:hyperlink>
          </w:p>
        </w:tc>
        <w:tc>
          <w:tcPr>
            <w:tcW w:w="1408" w:type="dxa"/>
            <w:vAlign w:val="center"/>
          </w:tcPr>
          <w:p w:rsidR="00D917FA" w:rsidRPr="00CC7E8C"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Problem solver with the ability to process information accurately and effectively, interpreting data as required</w:t>
            </w:r>
            <w:r w:rsidRPr="00790E2F" w:rsidDel="00A46086">
              <w:rPr>
                <w:rFonts w:ascii="Arial" w:hAnsi="Arial" w:cs="Arial"/>
                <w:sz w:val="22"/>
                <w:szCs w:val="22"/>
              </w:rPr>
              <w:t xml:space="preserve"> </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205F94">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5D5CCB"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Ability to use own initiative, discretion, and sensitivity</w:t>
            </w:r>
          </w:p>
        </w:tc>
        <w:tc>
          <w:tcPr>
            <w:tcW w:w="1408" w:type="dxa"/>
          </w:tcPr>
          <w:p w:rsidR="00D917FA" w:rsidRPr="00205F94" w:rsidRDefault="00D917FA" w:rsidP="00A914C1">
            <w:pPr>
              <w:tabs>
                <w:tab w:val="left" w:pos="1632"/>
              </w:tabs>
              <w:spacing w:before="60" w:after="60"/>
              <w:jc w:val="center"/>
              <w:rPr>
                <w:rFonts w:ascii="Arial" w:hAnsi="Arial" w:cs="Arial"/>
                <w:sz w:val="22"/>
                <w:szCs w:val="22"/>
              </w:rPr>
            </w:pPr>
            <w:r w:rsidRPr="00431D71">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5D5CCB"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 xml:space="preserve">Able to get along with people from all backgrounds and communities, respecting lifestyles and diversity </w:t>
            </w:r>
          </w:p>
        </w:tc>
        <w:tc>
          <w:tcPr>
            <w:tcW w:w="1408" w:type="dxa"/>
          </w:tcPr>
          <w:p w:rsidR="00D917FA" w:rsidRPr="00205F94" w:rsidRDefault="00D917FA" w:rsidP="00A914C1">
            <w:pPr>
              <w:tabs>
                <w:tab w:val="left" w:pos="1632"/>
              </w:tabs>
              <w:spacing w:before="60" w:after="60"/>
              <w:jc w:val="center"/>
              <w:rPr>
                <w:rFonts w:ascii="Arial" w:hAnsi="Arial" w:cs="Arial"/>
                <w:sz w:val="22"/>
                <w:szCs w:val="22"/>
              </w:rPr>
            </w:pPr>
            <w:r w:rsidRPr="00431D71">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Ability to work as a team member and autonomously</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205F94">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Excellent communication skills and effective in communicating and understanding patient needs</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205F94">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Del="002C1F26"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Sensitive and empathetic in distressing situations</w:t>
            </w:r>
          </w:p>
        </w:tc>
        <w:tc>
          <w:tcPr>
            <w:tcW w:w="1408" w:type="dxa"/>
            <w:vAlign w:val="center"/>
          </w:tcPr>
          <w:p w:rsidR="00D917FA" w:rsidRPr="00CC7E8C"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Default="00D917FA" w:rsidP="00A914C1">
            <w:pPr>
              <w:tabs>
                <w:tab w:val="left" w:pos="1632"/>
              </w:tabs>
              <w:spacing w:before="60" w:after="60"/>
              <w:rPr>
                <w:rFonts w:ascii="Arial" w:hAnsi="Arial" w:cs="Arial"/>
                <w:sz w:val="22"/>
                <w:szCs w:val="22"/>
              </w:rPr>
            </w:pPr>
            <w:r>
              <w:rPr>
                <w:rFonts w:ascii="Arial" w:hAnsi="Arial" w:cs="Arial"/>
                <w:sz w:val="22"/>
                <w:szCs w:val="22"/>
              </w:rPr>
              <w:t xml:space="preserve">Clinical system IT user skills </w:t>
            </w:r>
            <w:r w:rsidRPr="00790E2F">
              <w:rPr>
                <w:rFonts w:ascii="Arial" w:hAnsi="Arial" w:cs="Arial"/>
                <w:sz w:val="22"/>
                <w:szCs w:val="22"/>
              </w:rPr>
              <w:t>and the ability to record accurate notes</w:t>
            </w:r>
          </w:p>
        </w:tc>
        <w:tc>
          <w:tcPr>
            <w:tcW w:w="1408" w:type="dxa"/>
            <w:vAlign w:val="center"/>
          </w:tcPr>
          <w:p w:rsidR="00D917FA" w:rsidRPr="00CC7E8C" w:rsidRDefault="00D917FA" w:rsidP="00A914C1">
            <w:pPr>
              <w:tabs>
                <w:tab w:val="left" w:pos="1632"/>
              </w:tabs>
              <w:spacing w:before="60" w:after="60"/>
              <w:jc w:val="center"/>
              <w:rPr>
                <w:rFonts w:ascii="Arial" w:hAnsi="Arial" w:cs="Arial"/>
                <w:sz w:val="22"/>
                <w:szCs w:val="22"/>
              </w:rPr>
            </w:pP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r>
      <w:tr w:rsidR="00D917FA" w:rsidTr="00A914C1">
        <w:tc>
          <w:tcPr>
            <w:tcW w:w="6123" w:type="dxa"/>
          </w:tcPr>
          <w:p w:rsidR="00D917FA" w:rsidRPr="00AC4184" w:rsidDel="002C1F26"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Effectively utilise resources</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80768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Del="002C1F26"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Punctual and committed to supporting the team effort</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80768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lastRenderedPageBreak/>
              <w:t>High levels of integrity and loyalty</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Clear, polite telephone manner</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790E2F"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Flexible and cooperative</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7D6C9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790E2F"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Motivated</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7D6C9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790E2F" w:rsidRDefault="00D917FA" w:rsidP="00A914C1">
            <w:pPr>
              <w:tabs>
                <w:tab w:val="left" w:pos="1632"/>
              </w:tabs>
              <w:spacing w:before="60" w:after="60"/>
              <w:rPr>
                <w:rFonts w:ascii="Arial" w:hAnsi="Arial" w:cs="Arial"/>
                <w:sz w:val="22"/>
                <w:szCs w:val="22"/>
              </w:rPr>
            </w:pPr>
            <w:r>
              <w:rPr>
                <w:rFonts w:ascii="Arial" w:hAnsi="Arial" w:cs="Arial"/>
                <w:sz w:val="22"/>
                <w:szCs w:val="22"/>
              </w:rPr>
              <w:t>Understanding of safeguarding adults and children</w:t>
            </w:r>
          </w:p>
        </w:tc>
        <w:tc>
          <w:tcPr>
            <w:tcW w:w="1408" w:type="dxa"/>
          </w:tcPr>
          <w:p w:rsidR="00D917FA" w:rsidRPr="00CC7E8C" w:rsidRDefault="00D917FA" w:rsidP="00A914C1">
            <w:pPr>
              <w:tabs>
                <w:tab w:val="left" w:pos="1632"/>
              </w:tabs>
              <w:spacing w:before="60" w:after="60"/>
              <w:jc w:val="center"/>
              <w:rPr>
                <w:rFonts w:ascii="Arial" w:hAnsi="Arial" w:cs="Arial"/>
                <w:sz w:val="22"/>
                <w:szCs w:val="22"/>
              </w:rPr>
            </w:pPr>
            <w:r w:rsidRPr="007D6C9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AC4184"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Knowledge of and ability to work to key policies and procedures</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rPr>
          <w:trHeight w:val="233"/>
        </w:trPr>
        <w:tc>
          <w:tcPr>
            <w:tcW w:w="6123" w:type="dxa"/>
          </w:tcPr>
          <w:p w:rsidR="00D917FA" w:rsidRDefault="00D917FA" w:rsidP="00A914C1">
            <w:pPr>
              <w:tabs>
                <w:tab w:val="left" w:pos="1632"/>
              </w:tabs>
              <w:spacing w:before="60" w:after="60"/>
              <w:rPr>
                <w:rFonts w:ascii="Arial" w:hAnsi="Arial" w:cs="Arial"/>
                <w:sz w:val="22"/>
                <w:szCs w:val="22"/>
              </w:rPr>
            </w:pPr>
            <w:r w:rsidRPr="00AC4184">
              <w:rPr>
                <w:rFonts w:ascii="Arial" w:hAnsi="Arial" w:cs="Arial"/>
                <w:sz w:val="22"/>
                <w:szCs w:val="22"/>
              </w:rPr>
              <w:t>Effective time management (</w:t>
            </w:r>
            <w:r>
              <w:rPr>
                <w:rFonts w:ascii="Arial" w:hAnsi="Arial" w:cs="Arial"/>
                <w:sz w:val="22"/>
                <w:szCs w:val="22"/>
              </w:rPr>
              <w:t>p</w:t>
            </w:r>
            <w:r w:rsidRPr="00AC4184">
              <w:rPr>
                <w:rFonts w:ascii="Arial" w:hAnsi="Arial" w:cs="Arial"/>
                <w:sz w:val="22"/>
                <w:szCs w:val="22"/>
              </w:rPr>
              <w:t xml:space="preserve">lanning </w:t>
            </w:r>
            <w:r>
              <w:rPr>
                <w:rFonts w:ascii="Arial" w:hAnsi="Arial" w:cs="Arial"/>
                <w:sz w:val="22"/>
                <w:szCs w:val="22"/>
              </w:rPr>
              <w:t xml:space="preserve">and </w:t>
            </w:r>
            <w:proofErr w:type="spellStart"/>
            <w:r>
              <w:rPr>
                <w:rFonts w:ascii="Arial" w:hAnsi="Arial" w:cs="Arial"/>
                <w:sz w:val="22"/>
                <w:szCs w:val="22"/>
              </w:rPr>
              <w:t>o</w:t>
            </w:r>
            <w:r w:rsidRPr="00AC4184">
              <w:rPr>
                <w:rFonts w:ascii="Arial" w:hAnsi="Arial" w:cs="Arial"/>
                <w:sz w:val="22"/>
                <w:szCs w:val="22"/>
              </w:rPr>
              <w:t>rganising</w:t>
            </w:r>
            <w:proofErr w:type="spellEnd"/>
            <w:r w:rsidRPr="00AC4184">
              <w:rPr>
                <w:rFonts w:ascii="Arial" w:hAnsi="Arial" w:cs="Arial"/>
                <w:sz w:val="22"/>
                <w:szCs w:val="22"/>
              </w:rPr>
              <w:t>)</w:t>
            </w:r>
          </w:p>
        </w:tc>
        <w:tc>
          <w:tcPr>
            <w:tcW w:w="1408" w:type="dxa"/>
          </w:tcPr>
          <w:p w:rsidR="00D917FA" w:rsidRPr="00AC4184" w:rsidRDefault="00D917FA" w:rsidP="00A914C1">
            <w:pPr>
              <w:tabs>
                <w:tab w:val="left" w:pos="1632"/>
              </w:tabs>
              <w:spacing w:before="60" w:after="60"/>
              <w:jc w:val="center"/>
              <w:rPr>
                <w:rFonts w:ascii="Arial" w:hAnsi="Arial" w:cs="Arial"/>
                <w:sz w:val="22"/>
                <w:szCs w:val="22"/>
              </w:rPr>
            </w:pPr>
            <w:r w:rsidRPr="00FE686C">
              <w:rPr>
                <w:rFonts w:ascii="Arial" w:hAnsi="Arial" w:cs="Arial"/>
                <w:sz w:val="22"/>
                <w:szCs w:val="22"/>
              </w:rPr>
              <w:sym w:font="Wingdings" w:char="F0FC"/>
            </w:r>
          </w:p>
        </w:tc>
        <w:tc>
          <w:tcPr>
            <w:tcW w:w="1536" w:type="dxa"/>
          </w:tcPr>
          <w:p w:rsidR="00D917FA" w:rsidRPr="00AC4184" w:rsidRDefault="00D917FA" w:rsidP="00A914C1">
            <w:pPr>
              <w:tabs>
                <w:tab w:val="left" w:pos="1632"/>
              </w:tabs>
              <w:spacing w:before="60" w:after="60"/>
              <w:jc w:val="center"/>
              <w:rPr>
                <w:rFonts w:ascii="Arial" w:hAnsi="Arial" w:cs="Arial"/>
                <w:sz w:val="22"/>
                <w:szCs w:val="22"/>
              </w:rPr>
            </w:pPr>
          </w:p>
        </w:tc>
      </w:tr>
      <w:tr w:rsidR="00D917FA" w:rsidTr="00A914C1">
        <w:tc>
          <w:tcPr>
            <w:tcW w:w="6123" w:type="dxa"/>
          </w:tcPr>
          <w:p w:rsidR="00D917FA" w:rsidRPr="00790E2F"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 xml:space="preserve">Chaperone procedure </w:t>
            </w:r>
          </w:p>
        </w:tc>
        <w:tc>
          <w:tcPr>
            <w:tcW w:w="1408" w:type="dxa"/>
            <w:vAlign w:val="center"/>
          </w:tcPr>
          <w:p w:rsidR="00D917FA" w:rsidRPr="00CC7E8C" w:rsidRDefault="00D917FA" w:rsidP="00A914C1">
            <w:pPr>
              <w:tabs>
                <w:tab w:val="left" w:pos="1632"/>
              </w:tabs>
              <w:spacing w:before="60" w:after="60"/>
              <w:jc w:val="center"/>
              <w:rPr>
                <w:rFonts w:ascii="Arial" w:hAnsi="Arial" w:cs="Arial"/>
                <w:sz w:val="22"/>
                <w:szCs w:val="22"/>
              </w:rPr>
            </w:pPr>
          </w:p>
        </w:tc>
        <w:tc>
          <w:tcPr>
            <w:tcW w:w="1536" w:type="dxa"/>
          </w:tcPr>
          <w:p w:rsidR="00D917FA" w:rsidRPr="00AC4184" w:rsidRDefault="00D917FA" w:rsidP="00A914C1">
            <w:pPr>
              <w:tabs>
                <w:tab w:val="left" w:pos="1632"/>
              </w:tabs>
              <w:spacing w:before="60" w:after="60"/>
              <w:jc w:val="center"/>
              <w:rPr>
                <w:rFonts w:ascii="Arial" w:hAnsi="Arial" w:cs="Arial"/>
                <w:sz w:val="22"/>
                <w:szCs w:val="22"/>
              </w:rPr>
            </w:pPr>
            <w:r w:rsidRPr="007D729E">
              <w:rPr>
                <w:rFonts w:ascii="Arial" w:hAnsi="Arial" w:cs="Arial"/>
                <w:sz w:val="22"/>
                <w:szCs w:val="22"/>
              </w:rPr>
              <w:sym w:font="Wingdings" w:char="F0FC"/>
            </w:r>
          </w:p>
        </w:tc>
      </w:tr>
      <w:tr w:rsidR="00D917FA" w:rsidTr="00A914C1">
        <w:tc>
          <w:tcPr>
            <w:tcW w:w="6123" w:type="dxa"/>
          </w:tcPr>
          <w:p w:rsidR="00D917FA" w:rsidRPr="00790E2F" w:rsidRDefault="00D917FA" w:rsidP="00A914C1">
            <w:pPr>
              <w:tabs>
                <w:tab w:val="left" w:pos="1632"/>
              </w:tabs>
              <w:spacing w:before="60" w:after="60"/>
              <w:rPr>
                <w:rFonts w:ascii="Arial" w:hAnsi="Arial" w:cs="Arial"/>
                <w:sz w:val="22"/>
                <w:szCs w:val="22"/>
              </w:rPr>
            </w:pPr>
            <w:r w:rsidRPr="00790E2F">
              <w:rPr>
                <w:rFonts w:ascii="Arial" w:hAnsi="Arial" w:cs="Arial"/>
                <w:sz w:val="22"/>
                <w:szCs w:val="22"/>
              </w:rPr>
              <w:t>Demonstrate personal accountability, emotional resilience and work well under pressure</w:t>
            </w:r>
          </w:p>
        </w:tc>
        <w:tc>
          <w:tcPr>
            <w:tcW w:w="1408" w:type="dxa"/>
            <w:vAlign w:val="center"/>
          </w:tcPr>
          <w:p w:rsidR="00D917FA" w:rsidRPr="00CC7E8C" w:rsidRDefault="00D917FA" w:rsidP="00A914C1">
            <w:pPr>
              <w:tabs>
                <w:tab w:val="left" w:pos="1632"/>
              </w:tabs>
              <w:spacing w:before="60" w:after="60"/>
              <w:jc w:val="center"/>
              <w:rPr>
                <w:rFonts w:ascii="Arial" w:hAnsi="Arial" w:cs="Arial"/>
                <w:sz w:val="22"/>
                <w:szCs w:val="22"/>
              </w:rPr>
            </w:pPr>
          </w:p>
        </w:tc>
        <w:tc>
          <w:tcPr>
            <w:tcW w:w="1536" w:type="dxa"/>
          </w:tcPr>
          <w:p w:rsidR="00D917FA" w:rsidRPr="00AC4184" w:rsidRDefault="00D917FA" w:rsidP="00A914C1">
            <w:pPr>
              <w:tabs>
                <w:tab w:val="left" w:pos="1632"/>
              </w:tabs>
              <w:spacing w:before="60" w:after="60"/>
              <w:jc w:val="center"/>
              <w:rPr>
                <w:rFonts w:ascii="Arial" w:hAnsi="Arial" w:cs="Arial"/>
                <w:sz w:val="22"/>
                <w:szCs w:val="22"/>
              </w:rPr>
            </w:pPr>
            <w:r w:rsidRPr="007D729E">
              <w:rPr>
                <w:rFonts w:ascii="Arial" w:hAnsi="Arial" w:cs="Arial"/>
                <w:sz w:val="22"/>
                <w:szCs w:val="22"/>
              </w:rPr>
              <w:sym w:font="Wingdings" w:char="F0FC"/>
            </w:r>
          </w:p>
        </w:tc>
      </w:tr>
      <w:tr w:rsidR="00D917FA" w:rsidTr="00A914C1">
        <w:trPr>
          <w:trHeight w:val="233"/>
        </w:trPr>
        <w:tc>
          <w:tcPr>
            <w:tcW w:w="6123" w:type="dxa"/>
          </w:tcPr>
          <w:p w:rsidR="00D917FA" w:rsidRPr="00021656" w:rsidRDefault="00D917FA" w:rsidP="00A914C1">
            <w:pPr>
              <w:tabs>
                <w:tab w:val="left" w:pos="1632"/>
              </w:tabs>
              <w:spacing w:before="60" w:after="60"/>
              <w:rPr>
                <w:rFonts w:ascii="Arial" w:hAnsi="Arial" w:cs="Arial"/>
                <w:sz w:val="22"/>
                <w:szCs w:val="22"/>
              </w:rPr>
            </w:pPr>
            <w:r w:rsidRPr="00C45B4A">
              <w:rPr>
                <w:rFonts w:ascii="Arial" w:hAnsi="Arial" w:cs="Arial"/>
                <w:sz w:val="22"/>
                <w:szCs w:val="22"/>
              </w:rPr>
              <w:t>Ability to identify risk and assess/manage risk</w:t>
            </w:r>
          </w:p>
        </w:tc>
        <w:tc>
          <w:tcPr>
            <w:tcW w:w="1408" w:type="dxa"/>
          </w:tcPr>
          <w:p w:rsidR="00D917FA" w:rsidRPr="00AC4184" w:rsidRDefault="00D917FA" w:rsidP="00A914C1">
            <w:pPr>
              <w:tabs>
                <w:tab w:val="left" w:pos="1632"/>
              </w:tabs>
              <w:spacing w:before="60" w:after="60"/>
              <w:jc w:val="center"/>
              <w:rPr>
                <w:rFonts w:ascii="Arial" w:hAnsi="Arial" w:cs="Arial"/>
                <w:sz w:val="22"/>
                <w:szCs w:val="22"/>
              </w:rPr>
            </w:pPr>
          </w:p>
        </w:tc>
        <w:tc>
          <w:tcPr>
            <w:tcW w:w="1536" w:type="dxa"/>
          </w:tcPr>
          <w:p w:rsidR="00D917FA" w:rsidRPr="00AC4184" w:rsidRDefault="00D917FA" w:rsidP="00A914C1">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r>
      <w:tr w:rsidR="00D917FA" w:rsidTr="00A914C1">
        <w:trPr>
          <w:trHeight w:val="233"/>
        </w:trPr>
        <w:tc>
          <w:tcPr>
            <w:tcW w:w="6123" w:type="dxa"/>
          </w:tcPr>
          <w:p w:rsidR="00D917FA" w:rsidRPr="00C45B4A" w:rsidDel="003F39AE" w:rsidRDefault="00D917FA" w:rsidP="00A914C1">
            <w:pPr>
              <w:tabs>
                <w:tab w:val="left" w:pos="1632"/>
              </w:tabs>
              <w:spacing w:before="60" w:after="60"/>
              <w:rPr>
                <w:rFonts w:ascii="Arial" w:hAnsi="Arial" w:cs="Arial"/>
                <w:sz w:val="22"/>
                <w:szCs w:val="22"/>
              </w:rPr>
            </w:pPr>
            <w:r w:rsidRPr="00790BBF">
              <w:rPr>
                <w:rFonts w:ascii="Arial" w:hAnsi="Arial" w:cs="Arial"/>
                <w:sz w:val="22"/>
                <w:szCs w:val="22"/>
              </w:rPr>
              <w:t>Good interpersonal</w:t>
            </w:r>
            <w:r>
              <w:rPr>
                <w:rFonts w:ascii="Arial" w:hAnsi="Arial" w:cs="Arial"/>
                <w:sz w:val="22"/>
                <w:szCs w:val="22"/>
              </w:rPr>
              <w:t xml:space="preserve"> and organisational</w:t>
            </w:r>
            <w:r w:rsidRPr="00790BBF">
              <w:rPr>
                <w:rFonts w:ascii="Arial" w:hAnsi="Arial" w:cs="Arial"/>
                <w:sz w:val="22"/>
                <w:szCs w:val="22"/>
              </w:rPr>
              <w:t xml:space="preserve"> skills</w:t>
            </w:r>
          </w:p>
        </w:tc>
        <w:tc>
          <w:tcPr>
            <w:tcW w:w="1408" w:type="dxa"/>
          </w:tcPr>
          <w:p w:rsidR="00D917FA" w:rsidRPr="0017323D" w:rsidRDefault="00D917FA" w:rsidP="00A914C1">
            <w:pPr>
              <w:tabs>
                <w:tab w:val="left" w:pos="1632"/>
              </w:tabs>
              <w:spacing w:before="60" w:after="60"/>
              <w:jc w:val="center"/>
              <w:rPr>
                <w:rFonts w:ascii="Arial" w:hAnsi="Arial" w:cs="Arial"/>
                <w:sz w:val="22"/>
                <w:szCs w:val="22"/>
              </w:rPr>
            </w:pPr>
          </w:p>
        </w:tc>
        <w:tc>
          <w:tcPr>
            <w:tcW w:w="1536" w:type="dxa"/>
          </w:tcPr>
          <w:p w:rsidR="00D917FA" w:rsidRPr="00AC4184" w:rsidRDefault="00D917FA" w:rsidP="00A914C1">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r>
      <w:tr w:rsidR="00D917FA" w:rsidRPr="000840D2" w:rsidTr="00A914C1">
        <w:trPr>
          <w:trHeight w:val="233"/>
        </w:trPr>
        <w:tc>
          <w:tcPr>
            <w:tcW w:w="6123" w:type="dxa"/>
            <w:shd w:val="clear" w:color="auto" w:fill="A5B592" w:themeFill="accent1"/>
          </w:tcPr>
          <w:p w:rsidR="00D917FA" w:rsidRPr="002D59C4" w:rsidRDefault="00D917FA" w:rsidP="00A914C1">
            <w:pPr>
              <w:spacing w:before="120" w:after="120"/>
              <w:rPr>
                <w:rFonts w:ascii="Arial" w:hAnsi="Arial" w:cs="Arial"/>
                <w:b/>
                <w:color w:val="FFFFFF" w:themeColor="background1"/>
              </w:rPr>
            </w:pPr>
            <w:r w:rsidRPr="002D59C4">
              <w:rPr>
                <w:rFonts w:ascii="Arial" w:hAnsi="Arial" w:cs="Arial"/>
                <w:b/>
                <w:color w:val="FFFFFF" w:themeColor="background1"/>
              </w:rPr>
              <w:t>Other requirements</w:t>
            </w:r>
            <w:r>
              <w:rPr>
                <w:rFonts w:ascii="Arial" w:hAnsi="Arial" w:cs="Arial"/>
                <w:b/>
                <w:color w:val="FFFFFF" w:themeColor="background1"/>
              </w:rPr>
              <w:t>/wider responsibilities</w:t>
            </w:r>
          </w:p>
        </w:tc>
        <w:tc>
          <w:tcPr>
            <w:tcW w:w="1408" w:type="dxa"/>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A5B592" w:themeFill="accent1"/>
          </w:tcPr>
          <w:p w:rsidR="00D917FA" w:rsidRPr="002D59C4" w:rsidRDefault="00D917FA" w:rsidP="00A914C1">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D917FA" w:rsidRPr="00AC4184" w:rsidTr="00A914C1">
        <w:trPr>
          <w:trHeight w:val="224"/>
        </w:trPr>
        <w:tc>
          <w:tcPr>
            <w:tcW w:w="6123" w:type="dxa"/>
          </w:tcPr>
          <w:p w:rsidR="00D917FA" w:rsidRPr="00AC4184" w:rsidRDefault="00D917FA" w:rsidP="00A914C1">
            <w:pPr>
              <w:tabs>
                <w:tab w:val="left" w:pos="1632"/>
              </w:tabs>
              <w:spacing w:before="60" w:after="60"/>
              <w:rPr>
                <w:rFonts w:ascii="Arial" w:hAnsi="Arial" w:cs="Arial"/>
                <w:sz w:val="22"/>
                <w:szCs w:val="22"/>
              </w:rPr>
            </w:pPr>
            <w:r w:rsidRPr="00AC4184">
              <w:rPr>
                <w:rFonts w:ascii="Arial" w:hAnsi="Arial" w:cs="Arial"/>
                <w:sz w:val="22"/>
                <w:szCs w:val="22"/>
              </w:rPr>
              <w:t>Disclosure Barring Service (DBS) check</w:t>
            </w:r>
          </w:p>
        </w:tc>
        <w:tc>
          <w:tcPr>
            <w:tcW w:w="1408" w:type="dxa"/>
            <w:vAlign w:val="center"/>
          </w:tcPr>
          <w:p w:rsidR="00D917FA" w:rsidRPr="00AC4184" w:rsidRDefault="00D917FA" w:rsidP="00A914C1">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jc w:val="center"/>
              <w:rPr>
                <w:rFonts w:ascii="Arial" w:hAnsi="Arial" w:cs="Arial"/>
                <w:sz w:val="22"/>
                <w:szCs w:val="22"/>
              </w:rPr>
            </w:pPr>
          </w:p>
        </w:tc>
      </w:tr>
      <w:tr w:rsidR="00D917FA" w:rsidRPr="00AC4184" w:rsidTr="00A914C1">
        <w:trPr>
          <w:trHeight w:val="224"/>
        </w:trPr>
        <w:tc>
          <w:tcPr>
            <w:tcW w:w="6123" w:type="dxa"/>
          </w:tcPr>
          <w:p w:rsidR="00D917FA" w:rsidRPr="00AC4184" w:rsidRDefault="00D917FA" w:rsidP="00A914C1">
            <w:pPr>
              <w:tabs>
                <w:tab w:val="left" w:pos="1632"/>
              </w:tabs>
              <w:spacing w:before="60" w:after="60"/>
              <w:rPr>
                <w:rFonts w:ascii="Arial" w:hAnsi="Arial" w:cs="Arial"/>
                <w:sz w:val="22"/>
                <w:szCs w:val="22"/>
              </w:rPr>
            </w:pPr>
            <w:r>
              <w:rPr>
                <w:rFonts w:ascii="Arial" w:hAnsi="Arial" w:cs="Arial"/>
                <w:sz w:val="22"/>
                <w:szCs w:val="22"/>
              </w:rPr>
              <w:t>Occupational Health clearance</w:t>
            </w:r>
          </w:p>
        </w:tc>
        <w:tc>
          <w:tcPr>
            <w:tcW w:w="1408" w:type="dxa"/>
          </w:tcPr>
          <w:p w:rsidR="00D917FA" w:rsidRPr="00AC4184" w:rsidRDefault="00D917FA" w:rsidP="00A914C1">
            <w:pPr>
              <w:tabs>
                <w:tab w:val="left" w:pos="1632"/>
              </w:tabs>
              <w:spacing w:before="60" w:after="60"/>
              <w:jc w:val="center"/>
              <w:rPr>
                <w:rFonts w:ascii="Arial" w:hAnsi="Arial" w:cs="Arial"/>
                <w:sz w:val="22"/>
                <w:szCs w:val="22"/>
              </w:rPr>
            </w:pPr>
            <w:r w:rsidRPr="00234D0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jc w:val="center"/>
              <w:rPr>
                <w:rFonts w:ascii="Arial" w:hAnsi="Arial" w:cs="Arial"/>
                <w:sz w:val="22"/>
                <w:szCs w:val="22"/>
              </w:rPr>
            </w:pPr>
          </w:p>
        </w:tc>
      </w:tr>
      <w:tr w:rsidR="00D917FA" w:rsidRPr="00AC4184" w:rsidTr="00A914C1">
        <w:trPr>
          <w:trHeight w:val="224"/>
        </w:trPr>
        <w:tc>
          <w:tcPr>
            <w:tcW w:w="6123" w:type="dxa"/>
          </w:tcPr>
          <w:p w:rsidR="00D917FA" w:rsidRPr="00AC4184" w:rsidRDefault="00D917FA" w:rsidP="00A914C1">
            <w:pPr>
              <w:tabs>
                <w:tab w:val="left" w:pos="1632"/>
              </w:tabs>
              <w:spacing w:before="60" w:after="60"/>
              <w:rPr>
                <w:rFonts w:ascii="Arial" w:hAnsi="Arial" w:cs="Arial"/>
                <w:sz w:val="22"/>
                <w:szCs w:val="22"/>
              </w:rPr>
            </w:pPr>
            <w:r w:rsidRPr="00DC38E2">
              <w:rPr>
                <w:rFonts w:ascii="Arial" w:hAnsi="Arial" w:cs="Arial"/>
                <w:sz w:val="22"/>
                <w:szCs w:val="22"/>
              </w:rPr>
              <w:t>Flexibility to work outside core office hours</w:t>
            </w:r>
          </w:p>
        </w:tc>
        <w:tc>
          <w:tcPr>
            <w:tcW w:w="1408" w:type="dxa"/>
          </w:tcPr>
          <w:p w:rsidR="00D917FA" w:rsidRPr="00AC4184" w:rsidRDefault="00D917FA" w:rsidP="00A914C1">
            <w:pPr>
              <w:tabs>
                <w:tab w:val="left" w:pos="1632"/>
              </w:tabs>
              <w:spacing w:before="60" w:after="60"/>
              <w:jc w:val="center"/>
              <w:rPr>
                <w:rFonts w:ascii="Arial" w:hAnsi="Arial" w:cs="Arial"/>
                <w:sz w:val="22"/>
                <w:szCs w:val="22"/>
              </w:rPr>
            </w:pPr>
            <w:r w:rsidRPr="00234D0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jc w:val="center"/>
              <w:rPr>
                <w:rFonts w:ascii="Arial" w:hAnsi="Arial" w:cs="Arial"/>
                <w:sz w:val="22"/>
                <w:szCs w:val="22"/>
              </w:rPr>
            </w:pPr>
          </w:p>
        </w:tc>
      </w:tr>
      <w:tr w:rsidR="00D917FA" w:rsidRPr="00AC4184" w:rsidTr="00A914C1">
        <w:trPr>
          <w:trHeight w:val="224"/>
        </w:trPr>
        <w:tc>
          <w:tcPr>
            <w:tcW w:w="6123" w:type="dxa"/>
          </w:tcPr>
          <w:p w:rsidR="00D917FA" w:rsidRPr="00AC4184" w:rsidRDefault="00D917FA" w:rsidP="00A914C1">
            <w:pPr>
              <w:tabs>
                <w:tab w:val="left" w:pos="1632"/>
              </w:tabs>
              <w:spacing w:before="60" w:after="60"/>
              <w:rPr>
                <w:rFonts w:ascii="Arial" w:hAnsi="Arial" w:cs="Arial"/>
                <w:sz w:val="22"/>
                <w:szCs w:val="22"/>
              </w:rPr>
            </w:pPr>
            <w:r w:rsidRPr="00C45B4A">
              <w:rPr>
                <w:rFonts w:ascii="Arial" w:hAnsi="Arial" w:cs="Arial"/>
                <w:sz w:val="22"/>
                <w:szCs w:val="22"/>
              </w:rPr>
              <w:t xml:space="preserve">Access to own transport and ability to travel across the locality </w:t>
            </w:r>
          </w:p>
        </w:tc>
        <w:tc>
          <w:tcPr>
            <w:tcW w:w="1408" w:type="dxa"/>
          </w:tcPr>
          <w:p w:rsidR="00D917FA" w:rsidRPr="00AC4184" w:rsidRDefault="00D917FA" w:rsidP="00A914C1">
            <w:pPr>
              <w:tabs>
                <w:tab w:val="left" w:pos="1632"/>
              </w:tabs>
              <w:spacing w:before="60" w:after="60"/>
              <w:jc w:val="center"/>
              <w:rPr>
                <w:rFonts w:ascii="Arial" w:hAnsi="Arial" w:cs="Arial"/>
                <w:sz w:val="22"/>
                <w:szCs w:val="22"/>
              </w:rPr>
            </w:pPr>
            <w:r w:rsidRPr="00234D08">
              <w:rPr>
                <w:rFonts w:ascii="Arial" w:hAnsi="Arial" w:cs="Arial"/>
                <w:sz w:val="22"/>
                <w:szCs w:val="22"/>
              </w:rPr>
              <w:sym w:font="Wingdings" w:char="F0FC"/>
            </w:r>
          </w:p>
        </w:tc>
        <w:tc>
          <w:tcPr>
            <w:tcW w:w="1536" w:type="dxa"/>
            <w:vAlign w:val="center"/>
          </w:tcPr>
          <w:p w:rsidR="00D917FA" w:rsidRPr="00AC4184" w:rsidRDefault="00D917FA" w:rsidP="00A914C1">
            <w:pPr>
              <w:tabs>
                <w:tab w:val="left" w:pos="1632"/>
              </w:tabs>
              <w:jc w:val="center"/>
              <w:rPr>
                <w:rFonts w:ascii="Arial" w:hAnsi="Arial" w:cs="Arial"/>
                <w:sz w:val="22"/>
                <w:szCs w:val="22"/>
              </w:rPr>
            </w:pPr>
          </w:p>
        </w:tc>
      </w:tr>
    </w:tbl>
    <w:p w:rsidR="00D917FA" w:rsidRPr="00AC4184" w:rsidRDefault="00D917FA" w:rsidP="00D917FA">
      <w:pPr>
        <w:tabs>
          <w:tab w:val="left" w:pos="1632"/>
        </w:tabs>
        <w:rPr>
          <w:rFonts w:ascii="Arial" w:hAnsi="Arial" w:cs="Arial"/>
          <w:b/>
          <w:sz w:val="22"/>
          <w:szCs w:val="22"/>
          <w:u w:val="single"/>
        </w:rPr>
      </w:pPr>
    </w:p>
    <w:p w:rsidR="00D917FA" w:rsidRDefault="00D917FA" w:rsidP="00D917FA">
      <w:pPr>
        <w:rPr>
          <w:rFonts w:ascii="Arial" w:hAnsi="Arial" w:cs="Arial"/>
          <w:sz w:val="22"/>
          <w:szCs w:val="22"/>
        </w:rPr>
      </w:pPr>
      <w:r w:rsidRPr="00AC4184">
        <w:rPr>
          <w:rFonts w:ascii="Arial" w:hAnsi="Arial" w:cs="Arial"/>
          <w:sz w:val="22"/>
          <w:szCs w:val="22"/>
        </w:rPr>
        <w:t>This document may be amended following co</w:t>
      </w:r>
      <w:r>
        <w:rPr>
          <w:rFonts w:ascii="Arial" w:hAnsi="Arial" w:cs="Arial"/>
          <w:sz w:val="22"/>
          <w:szCs w:val="22"/>
        </w:rPr>
        <w:t>nsultation with the post-holder</w:t>
      </w:r>
      <w:r w:rsidRPr="00AC4184">
        <w:rPr>
          <w:rFonts w:ascii="Arial" w:hAnsi="Arial" w:cs="Arial"/>
          <w:sz w:val="22"/>
          <w:szCs w:val="22"/>
        </w:rPr>
        <w:t xml:space="preserve"> t</w:t>
      </w:r>
      <w:r>
        <w:rPr>
          <w:rFonts w:ascii="Arial" w:hAnsi="Arial" w:cs="Arial"/>
          <w:sz w:val="22"/>
          <w:szCs w:val="22"/>
        </w:rPr>
        <w:t xml:space="preserve">o </w:t>
      </w:r>
      <w:r w:rsidRPr="00AC4184">
        <w:rPr>
          <w:rFonts w:ascii="Arial" w:hAnsi="Arial" w:cs="Arial"/>
          <w:sz w:val="22"/>
          <w:szCs w:val="22"/>
        </w:rPr>
        <w:t>facilitate the development of the role, the</w:t>
      </w:r>
      <w:r>
        <w:rPr>
          <w:rFonts w:ascii="Arial" w:hAnsi="Arial" w:cs="Arial"/>
          <w:sz w:val="22"/>
          <w:szCs w:val="22"/>
        </w:rPr>
        <w:t xml:space="preserve"> PCN</w:t>
      </w:r>
      <w:r w:rsidRPr="00AC4184">
        <w:rPr>
          <w:rFonts w:ascii="Arial" w:hAnsi="Arial" w:cs="Arial"/>
          <w:sz w:val="22"/>
          <w:szCs w:val="22"/>
        </w:rPr>
        <w:t xml:space="preserve"> and </w:t>
      </w:r>
      <w:r>
        <w:rPr>
          <w:rFonts w:ascii="Arial" w:hAnsi="Arial" w:cs="Arial"/>
          <w:sz w:val="22"/>
          <w:szCs w:val="22"/>
        </w:rPr>
        <w:t>the individual.</w:t>
      </w:r>
      <w:r w:rsidRPr="00AC4184">
        <w:rPr>
          <w:rFonts w:ascii="Arial" w:hAnsi="Arial" w:cs="Arial"/>
          <w:sz w:val="22"/>
          <w:szCs w:val="22"/>
        </w:rPr>
        <w:t xml:space="preserve"> </w:t>
      </w:r>
    </w:p>
    <w:p w:rsidR="00D917FA" w:rsidRDefault="00D917FA" w:rsidP="00D917FA">
      <w:pPr>
        <w:rPr>
          <w:rFonts w:ascii="Arial" w:hAnsi="Arial" w:cs="Arial"/>
          <w:sz w:val="22"/>
          <w:szCs w:val="22"/>
        </w:rPr>
      </w:pPr>
    </w:p>
    <w:p w:rsidR="00D917FA" w:rsidRPr="00AC4184" w:rsidRDefault="00D917FA" w:rsidP="00D917FA">
      <w:pPr>
        <w:rPr>
          <w:rFonts w:ascii="Arial" w:hAnsi="Arial" w:cs="Arial"/>
          <w:sz w:val="22"/>
          <w:szCs w:val="22"/>
        </w:rPr>
      </w:pPr>
      <w:r w:rsidRPr="00AC4184">
        <w:rPr>
          <w:rFonts w:ascii="Arial" w:hAnsi="Arial" w:cs="Arial"/>
          <w:sz w:val="22"/>
          <w:szCs w:val="22"/>
        </w:rPr>
        <w:t xml:space="preserve">All personnel should be prepared to accept additional, or surrender existing duties, to enable the efficient running of the </w:t>
      </w:r>
      <w:r>
        <w:rPr>
          <w:rFonts w:ascii="Arial" w:hAnsi="Arial" w:cs="Arial"/>
          <w:sz w:val="22"/>
          <w:szCs w:val="22"/>
        </w:rPr>
        <w:t>PCN</w:t>
      </w:r>
      <w:r w:rsidRPr="00AC4184">
        <w:rPr>
          <w:rFonts w:ascii="Arial" w:hAnsi="Arial" w:cs="Arial"/>
          <w:sz w:val="22"/>
          <w:szCs w:val="22"/>
        </w:rPr>
        <w:t>.</w:t>
      </w:r>
    </w:p>
    <w:p w:rsidR="00D917FA" w:rsidRPr="00006C8F" w:rsidRDefault="00D917FA" w:rsidP="00D917FA">
      <w:pPr>
        <w:rPr>
          <w:rFonts w:ascii="Arial" w:hAnsi="Arial" w:cs="Arial"/>
          <w:b/>
          <w:u w:val="single"/>
        </w:rPr>
      </w:pPr>
    </w:p>
    <w:p w:rsidR="00552A80" w:rsidRDefault="00552A80"/>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298E344"/>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hAnsi="Arial" w:cs="Arial" w:hint="default"/>
        <w:b/>
        <w:bCs/>
        <w:color w:val="auto"/>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04015"/>
    <w:multiLevelType w:val="multilevel"/>
    <w:tmpl w:val="705E243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6EF2CD1"/>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21"/>
    <w:rsid w:val="00552A80"/>
    <w:rsid w:val="006F78DD"/>
    <w:rsid w:val="00AD01D3"/>
    <w:rsid w:val="00D917FA"/>
    <w:rsid w:val="00F2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FE5B4-6281-4869-AF07-5C745F46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FA"/>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F78DD"/>
    <w:pPr>
      <w:spacing w:before="240" w:after="60"/>
      <w:outlineLvl w:val="6"/>
    </w:pPr>
  </w:style>
  <w:style w:type="paragraph" w:styleId="Heading8">
    <w:name w:val="heading 8"/>
    <w:basedOn w:val="Normal"/>
    <w:next w:val="Normal"/>
    <w:link w:val="Heading8Char"/>
    <w:uiPriority w:val="9"/>
    <w:unhideWhenUsed/>
    <w:qFormat/>
    <w:rsid w:val="006F78DD"/>
    <w:pPr>
      <w:spacing w:before="240" w:after="60"/>
      <w:outlineLvl w:val="7"/>
    </w:pPr>
    <w:rPr>
      <w:i/>
      <w:iCs/>
    </w:rPr>
  </w:style>
  <w:style w:type="paragraph" w:styleId="Heading9">
    <w:name w:val="heading 9"/>
    <w:basedOn w:val="Normal"/>
    <w:next w:val="Normal"/>
    <w:link w:val="Heading9Char"/>
    <w:uiPriority w:val="9"/>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link w:val="ListParagraphChar"/>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D917FA"/>
    <w:rPr>
      <w:color w:val="8E58B6" w:themeColor="hyperlink"/>
      <w:u w:val="single"/>
    </w:rPr>
  </w:style>
  <w:style w:type="table" w:styleId="TableGrid">
    <w:name w:val="Table Grid"/>
    <w:basedOn w:val="TableNormal"/>
    <w:uiPriority w:val="39"/>
    <w:rsid w:val="00D917FA"/>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917FA"/>
    <w:rPr>
      <w:sz w:val="24"/>
      <w:szCs w:val="24"/>
    </w:rPr>
  </w:style>
  <w:style w:type="paragraph" w:customStyle="1" w:styleId="Bodycopy">
    <w:name w:val="Body copy"/>
    <w:basedOn w:val="Normal"/>
    <w:qFormat/>
    <w:rsid w:val="00D917FA"/>
    <w:pPr>
      <w:spacing w:before="240" w:after="120"/>
      <w:ind w:firstLine="11"/>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0/43/contents" TargetMode="External"/><Relationship Id="rId13" Type="http://schemas.openxmlformats.org/officeDocument/2006/relationships/hyperlink" Target="https://www.england.nhs.uk/publication/module-1-patient-activation-measure-implementation-quick-gu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legislation/hswa.htm" TargetMode="External"/><Relationship Id="rId12" Type="http://schemas.openxmlformats.org/officeDocument/2006/relationships/hyperlink" Target="https://www.youtube.com/watch?v=jkzLP1_Y6Mw&amp;feature=youtu.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gland.nhs.uk/publication/module-1-patient-activation-measure-implementation-quick-guide/" TargetMode="External"/><Relationship Id="rId1" Type="http://schemas.openxmlformats.org/officeDocument/2006/relationships/numbering" Target="numbering.xml"/><Relationship Id="rId6" Type="http://schemas.openxmlformats.org/officeDocument/2006/relationships/hyperlink" Target="https://www.england.nhs.uk/about/equality/workforce-eq-inc/" TargetMode="External"/><Relationship Id="rId11" Type="http://schemas.openxmlformats.org/officeDocument/2006/relationships/hyperlink" Target="https://www.england.nhs.uk/wp-content/uploads/2019/02/comprehensive-model-of-personalised-care.pdf" TargetMode="External"/><Relationship Id="rId5" Type="http://schemas.openxmlformats.org/officeDocument/2006/relationships/hyperlink" Target="https://www.england.nhs.uk/publication/network-contract-des-contract-specification-2025-26-pcn-requirements-and-entitlements/" TargetMode="External"/><Relationship Id="rId15" Type="http://schemas.openxmlformats.org/officeDocument/2006/relationships/hyperlink" Target="https://www.england.nhs.uk/personalisedcare/supporting-health-and-care-staff-to-deliver-personalised-care/personalised-care-institute/" TargetMode="External"/><Relationship Id="rId10" Type="http://schemas.openxmlformats.org/officeDocument/2006/relationships/hyperlink" Target="https://www.legislation.gov.uk/uksi/1999/1877/contents/made" TargetMode="External"/><Relationship Id="rId4" Type="http://schemas.openxmlformats.org/officeDocument/2006/relationships/webSettings" Target="webSettings.xml"/><Relationship Id="rId9" Type="http://schemas.openxmlformats.org/officeDocument/2006/relationships/hyperlink" Target="https://www.legislation.gov.uk/ukpga/1995/25/contents" TargetMode="External"/><Relationship Id="rId14" Type="http://schemas.openxmlformats.org/officeDocument/2006/relationships/hyperlink" Target="https://www.england.nhs.uk/publication/network-contract-des-contract-specification-2025-26-pcn-requirements-and-entitlements/"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Tamsin (Park Surgery)</dc:creator>
  <cp:keywords/>
  <dc:description/>
  <cp:lastModifiedBy>Barnard Tamsin (Park Surgery)</cp:lastModifiedBy>
  <cp:revision>3</cp:revision>
  <dcterms:created xsi:type="dcterms:W3CDTF">2026-01-21T12:42:00Z</dcterms:created>
  <dcterms:modified xsi:type="dcterms:W3CDTF">2026-01-21T13:26:00Z</dcterms:modified>
</cp:coreProperties>
</file>