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73" w:type="dxa"/>
        <w:tblCellMar>
          <w:left w:w="10" w:type="dxa"/>
          <w:right w:w="10" w:type="dxa"/>
        </w:tblCellMar>
        <w:tblLook w:val="0000" w:firstRow="0" w:lastRow="0" w:firstColumn="0" w:lastColumn="0" w:noHBand="0" w:noVBand="0"/>
      </w:tblPr>
      <w:tblGrid>
        <w:gridCol w:w="2802"/>
        <w:gridCol w:w="7371"/>
      </w:tblGrid>
      <w:tr w:rsidR="00C74F5B" w14:paraId="01E742C7" w14:textId="77777777">
        <w:trPr>
          <w:trHeight w:val="454"/>
        </w:trPr>
        <w:tc>
          <w:tcPr>
            <w:tcW w:w="10173" w:type="dxa"/>
            <w:gridSpan w:val="2"/>
            <w:tcBorders>
              <w:bottom w:val="single" w:color="FFFFFF" w:sz="4" w:space="0"/>
              <w:right w:val="single" w:color="FFFFFF" w:sz="4" w:space="0"/>
            </w:tcBorders>
            <w:shd w:val="clear" w:color="auto" w:fill="FFFFFF"/>
            <w:tcMar>
              <w:top w:w="57" w:type="dxa"/>
              <w:left w:w="0" w:type="dxa"/>
              <w:bottom w:w="227" w:type="dxa"/>
              <w:right w:w="0" w:type="dxa"/>
            </w:tcMar>
          </w:tcPr>
          <w:p w:rsidR="00C74F5B" w:rsidRDefault="00C74F5B" w14:paraId="0138FA4E" w14:textId="77777777">
            <w:pPr>
              <w:pStyle w:val="Heading1"/>
            </w:pPr>
          </w:p>
        </w:tc>
      </w:tr>
      <w:tr w:rsidR="00C74F5B" w14:paraId="587720E3" w14:textId="77777777">
        <w:trPr>
          <w:trHeight w:val="544"/>
        </w:trPr>
        <w:tc>
          <w:tcPr>
            <w:tcW w:w="2802" w:type="dxa"/>
            <w:tcBorders>
              <w:bottom w:val="single" w:color="FFFFFF" w:sz="4" w:space="0"/>
            </w:tcBorders>
            <w:shd w:val="clear" w:color="auto" w:fill="B52059"/>
            <w:tcMar>
              <w:top w:w="0" w:type="dxa"/>
              <w:left w:w="142" w:type="dxa"/>
              <w:bottom w:w="0" w:type="dxa"/>
              <w:right w:w="142" w:type="dxa"/>
            </w:tcMar>
            <w:vAlign w:val="center"/>
          </w:tcPr>
          <w:p w:rsidR="00C74F5B" w:rsidRDefault="0085247C" w14:paraId="1FF987DD" w14:textId="77777777">
            <w:pPr>
              <w:spacing w:before="160"/>
              <w:rPr>
                <w:rFonts w:ascii="Avenir Medium" w:hAnsi="Avenir Medium"/>
                <w:color w:val="FFFFFF"/>
              </w:rPr>
            </w:pPr>
            <w:r>
              <w:rPr>
                <w:rFonts w:ascii="Avenir Medium" w:hAnsi="Avenir Medium"/>
                <w:color w:val="FFFFFF"/>
              </w:rPr>
              <w:t xml:space="preserve">Job Title: </w:t>
            </w:r>
          </w:p>
        </w:tc>
        <w:tc>
          <w:tcPr>
            <w:tcW w:w="7371" w:type="dxa"/>
            <w:tcBorders>
              <w:top w:val="single" w:color="FFFFFF" w:sz="4" w:space="0"/>
              <w:bottom w:val="single" w:color="FFFFFF" w:sz="4" w:space="0"/>
              <w:right w:val="single" w:color="FFFFFF" w:sz="4" w:space="0"/>
            </w:tcBorders>
            <w:shd w:val="clear" w:color="auto" w:fill="F2F2F2"/>
            <w:tcMar>
              <w:top w:w="0" w:type="dxa"/>
              <w:left w:w="142" w:type="dxa"/>
              <w:bottom w:w="0" w:type="dxa"/>
              <w:right w:w="142" w:type="dxa"/>
            </w:tcMar>
            <w:vAlign w:val="center"/>
          </w:tcPr>
          <w:p w:rsidR="00C74F5B" w:rsidRDefault="00C37204" w14:paraId="42DDF7C5" w14:textId="642889B5">
            <w:pPr>
              <w:spacing w:before="160"/>
            </w:pPr>
            <w:r>
              <w:t>Band 6 Neurodevelopmental Practitioner</w:t>
            </w:r>
          </w:p>
        </w:tc>
      </w:tr>
      <w:tr w:rsidR="00C74F5B" w14:paraId="66FFE44C" w14:textId="77777777">
        <w:trPr>
          <w:trHeight w:val="454"/>
        </w:trPr>
        <w:tc>
          <w:tcPr>
            <w:tcW w:w="2802" w:type="dxa"/>
            <w:tcBorders>
              <w:top w:val="single" w:color="FFFFFF" w:sz="4" w:space="0"/>
              <w:bottom w:val="single" w:color="FFFFFF" w:sz="4" w:space="0"/>
            </w:tcBorders>
            <w:shd w:val="clear" w:color="auto" w:fill="B52059"/>
            <w:tcMar>
              <w:top w:w="0" w:type="dxa"/>
              <w:left w:w="142" w:type="dxa"/>
              <w:bottom w:w="0" w:type="dxa"/>
              <w:right w:w="142" w:type="dxa"/>
            </w:tcMar>
            <w:vAlign w:val="center"/>
          </w:tcPr>
          <w:p w:rsidR="00C74F5B" w:rsidRDefault="0085247C" w14:paraId="6D357E3A" w14:textId="77777777">
            <w:pPr>
              <w:spacing w:before="160"/>
              <w:rPr>
                <w:rFonts w:ascii="Avenir Medium" w:hAnsi="Avenir Medium"/>
                <w:color w:val="FFFFFF"/>
              </w:rPr>
            </w:pPr>
            <w:r>
              <w:rPr>
                <w:rFonts w:ascii="Avenir Medium" w:hAnsi="Avenir Medium"/>
                <w:color w:val="FFFFFF"/>
              </w:rPr>
              <w:t xml:space="preserve">Reports to (job title): </w:t>
            </w:r>
          </w:p>
        </w:tc>
        <w:tc>
          <w:tcPr>
            <w:tcW w:w="7371" w:type="dxa"/>
            <w:tcBorders>
              <w:top w:val="single" w:color="FFFFFF" w:sz="4" w:space="0"/>
              <w:bottom w:val="single" w:color="FFFFFF" w:sz="4" w:space="0"/>
              <w:right w:val="single" w:color="FFFFFF" w:sz="4" w:space="0"/>
            </w:tcBorders>
            <w:shd w:val="clear" w:color="auto" w:fill="F2F2F2"/>
            <w:tcMar>
              <w:top w:w="0" w:type="dxa"/>
              <w:left w:w="142" w:type="dxa"/>
              <w:bottom w:w="0" w:type="dxa"/>
              <w:right w:w="142" w:type="dxa"/>
            </w:tcMar>
            <w:vAlign w:val="center"/>
          </w:tcPr>
          <w:p w:rsidR="00C74F5B" w:rsidRDefault="00C37204" w14:paraId="38386823" w14:textId="13282D92">
            <w:pPr>
              <w:spacing w:before="160"/>
            </w:pPr>
            <w:r>
              <w:t>Band 7 Neurodevelopmental Team Lead</w:t>
            </w:r>
          </w:p>
        </w:tc>
      </w:tr>
      <w:tr w:rsidR="00C74F5B" w14:paraId="228D3884" w14:textId="77777777">
        <w:trPr>
          <w:trHeight w:val="454"/>
        </w:trPr>
        <w:tc>
          <w:tcPr>
            <w:tcW w:w="2802" w:type="dxa"/>
            <w:tcBorders>
              <w:top w:val="single" w:color="FFFFFF" w:sz="4" w:space="0"/>
            </w:tcBorders>
            <w:shd w:val="clear" w:color="auto" w:fill="B52059"/>
            <w:tcMar>
              <w:top w:w="0" w:type="dxa"/>
              <w:left w:w="142" w:type="dxa"/>
              <w:bottom w:w="0" w:type="dxa"/>
              <w:right w:w="142" w:type="dxa"/>
            </w:tcMar>
            <w:vAlign w:val="center"/>
          </w:tcPr>
          <w:p w:rsidR="00C74F5B" w:rsidRDefault="0085247C" w14:paraId="01E632CC" w14:textId="77777777">
            <w:pPr>
              <w:spacing w:before="160"/>
              <w:rPr>
                <w:rFonts w:ascii="Avenir Medium" w:hAnsi="Avenir Medium"/>
                <w:color w:val="FFFFFF"/>
              </w:rPr>
            </w:pPr>
            <w:r>
              <w:rPr>
                <w:rFonts w:ascii="Avenir Medium" w:hAnsi="Avenir Medium"/>
                <w:color w:val="FFFFFF"/>
              </w:rPr>
              <w:t xml:space="preserve">Line Manager to: </w:t>
            </w:r>
          </w:p>
        </w:tc>
        <w:tc>
          <w:tcPr>
            <w:tcW w:w="7371" w:type="dxa"/>
            <w:tcBorders>
              <w:top w:val="single" w:color="FFFFFF" w:sz="4" w:space="0"/>
              <w:right w:val="single" w:color="FFFFFF" w:sz="4" w:space="0"/>
            </w:tcBorders>
            <w:shd w:val="clear" w:color="auto" w:fill="F2F2F2"/>
            <w:tcMar>
              <w:top w:w="0" w:type="dxa"/>
              <w:left w:w="142" w:type="dxa"/>
              <w:bottom w:w="0" w:type="dxa"/>
              <w:right w:w="142" w:type="dxa"/>
            </w:tcMar>
            <w:vAlign w:val="center"/>
          </w:tcPr>
          <w:p w:rsidR="00C74F5B" w:rsidRDefault="00C37204" w14:paraId="773760E5" w14:textId="044B2A7E">
            <w:pPr>
              <w:spacing w:before="160"/>
            </w:pPr>
            <w:r>
              <w:t>Care Navigator (if required by the service)</w:t>
            </w:r>
          </w:p>
        </w:tc>
      </w:tr>
      <w:tr w:rsidR="00C74F5B" w14:paraId="771989F4" w14:textId="77777777">
        <w:trPr>
          <w:trHeight w:val="170" w:hRule="exact"/>
        </w:trPr>
        <w:tc>
          <w:tcPr>
            <w:tcW w:w="10173" w:type="dxa"/>
            <w:gridSpan w:val="2"/>
            <w:shd w:val="clear" w:color="auto" w:fill="auto"/>
            <w:tcMar>
              <w:top w:w="57" w:type="dxa"/>
              <w:left w:w="0" w:type="dxa"/>
              <w:bottom w:w="113" w:type="dxa"/>
              <w:right w:w="0" w:type="dxa"/>
            </w:tcMar>
          </w:tcPr>
          <w:p w:rsidR="00C74F5B" w:rsidRDefault="00C74F5B" w14:paraId="1EBDEC28" w14:textId="77777777">
            <w:pPr>
              <w:pStyle w:val="Heading1"/>
              <w:rPr>
                <w:color w:val="3C3C3B"/>
              </w:rPr>
            </w:pPr>
          </w:p>
        </w:tc>
      </w:tr>
    </w:tbl>
    <w:p w:rsidR="00C74F5B" w:rsidRDefault="0085247C" w14:paraId="29CE4429" w14:textId="77777777">
      <w:pPr>
        <w:pStyle w:val="Heading2"/>
      </w:pPr>
      <w:r>
        <w:t>Job purpose</w:t>
      </w:r>
    </w:p>
    <w:p w:rsidR="00C37204" w:rsidP="00C37204" w:rsidRDefault="00C37204" w14:paraId="2C2D8BED" w14:textId="77777777">
      <w:pPr>
        <w:pStyle w:val="Bulletpoints"/>
        <w:numPr>
          <w:ilvl w:val="0"/>
          <w:numId w:val="0"/>
        </w:numPr>
      </w:pPr>
      <w:r>
        <w:t>To provide a specialist assessment service</w:t>
      </w:r>
      <w:r>
        <w:t xml:space="preserve"> within the Neurodevelopmental Pathway</w:t>
      </w:r>
      <w:r>
        <w:t xml:space="preserve"> for children and young people when investigating a diagnosis of autistic spectrum disorder (ASD). </w:t>
      </w:r>
    </w:p>
    <w:p w:rsidR="00C37204" w:rsidP="00C37204" w:rsidRDefault="00C37204" w14:paraId="29292BF4" w14:textId="77777777">
      <w:pPr>
        <w:pStyle w:val="Bulletpoints"/>
        <w:numPr>
          <w:ilvl w:val="0"/>
          <w:numId w:val="0"/>
        </w:numPr>
      </w:pPr>
      <w:r>
        <w:t xml:space="preserve">The post will require working in partnership with parents/carers, and the multi-disciplinary team and other agencies. The post holder must be an appropriately qualified professional (e.g. Speech and Language Therapist, Occupational Therapist, Mental Health Nurse, Psychologist or other health professional). </w:t>
      </w:r>
    </w:p>
    <w:p w:rsidR="00C37204" w:rsidP="00C37204" w:rsidRDefault="00C37204" w14:paraId="1033A9F5" w14:textId="77777777">
      <w:pPr>
        <w:pStyle w:val="Bulletpoints"/>
        <w:numPr>
          <w:ilvl w:val="0"/>
          <w:numId w:val="0"/>
        </w:numPr>
      </w:pPr>
      <w:r>
        <w:t xml:space="preserve">The post holder will be expected to provide contributions of assessment information to the </w:t>
      </w:r>
      <w:r>
        <w:t>Neurodevelopmental Pathway</w:t>
      </w:r>
      <w:r>
        <w:t xml:space="preserve">, as well as contributing to the team in their specialist areas of knowledge. </w:t>
      </w:r>
      <w:r>
        <w:t>The Neurodevelopmental Pathway</w:t>
      </w:r>
      <w:r>
        <w:t xml:space="preserve"> provide</w:t>
      </w:r>
      <w:r>
        <w:t>s</w:t>
      </w:r>
      <w:r>
        <w:t xml:space="preserve"> robust assessment of children and young people with suspected autism</w:t>
      </w:r>
      <w:r>
        <w:t xml:space="preserve"> and/ or ADHD</w:t>
      </w:r>
      <w:r>
        <w:t>, and appropriate onward signposting and referral.</w:t>
      </w:r>
    </w:p>
    <w:p w:rsidR="00C74F5B" w:rsidP="00C37204" w:rsidRDefault="00C37204" w14:paraId="6919AFBC" w14:textId="1F9443F8">
      <w:pPr>
        <w:pStyle w:val="Bulletpoints"/>
        <w:numPr>
          <w:ilvl w:val="0"/>
          <w:numId w:val="0"/>
        </w:numPr>
        <w:rPr>
          <w:lang w:eastAsia="en-GB"/>
        </w:rPr>
      </w:pPr>
      <w:r>
        <w:t xml:space="preserve">The </w:t>
      </w:r>
      <w:r>
        <w:t>Neurodevelopmental</w:t>
      </w:r>
      <w:r>
        <w:t xml:space="preserve"> </w:t>
      </w:r>
      <w:r>
        <w:t>P</w:t>
      </w:r>
      <w:r>
        <w:t xml:space="preserve">ractitioner will support the </w:t>
      </w:r>
      <w:r>
        <w:t>service</w:t>
      </w:r>
      <w:r>
        <w:t xml:space="preserve"> in </w:t>
      </w:r>
      <w:r>
        <w:t>varied</w:t>
      </w:r>
      <w:r>
        <w:t xml:space="preserve"> aspects of diagnostic assessment and post diagnostic advice to parents, carers, education staff and children and young people. </w:t>
      </w:r>
    </w:p>
    <w:p w:rsidR="00C74F5B" w:rsidRDefault="0085247C" w14:paraId="1977AD25" w14:textId="77777777">
      <w:pPr>
        <w:pStyle w:val="Heading2"/>
      </w:pPr>
      <w:r>
        <w:t>Key responsibilities</w:t>
      </w:r>
    </w:p>
    <w:p w:rsidR="00C74F5B" w:rsidP="4ED6478D" w:rsidRDefault="00C37204" w14:paraId="374889B8" w14:textId="0794E5DC">
      <w:pPr>
        <w:pStyle w:val="Bulletpoints"/>
        <w:rPr/>
      </w:pPr>
      <w:r w:rsidR="1898AE3A">
        <w:rPr/>
        <w:t>Making a</w:t>
      </w:r>
      <w:r w:rsidR="1898AE3A">
        <w:rPr/>
        <w:t xml:space="preserve">ssessment and differential diagnosis of a child’s communication and social interaction needs through the use of highly specialised standardised and non-standardised assessments, reflection on auditory, visual and kinaesthetic aspects of a child’s communication, informal observation, specialist knowledge and consultation with </w:t>
      </w:r>
      <w:r w:rsidR="1898AE3A">
        <w:rPr/>
        <w:t>parents/carers, and other professionals (</w:t>
      </w:r>
      <w:r w:rsidR="1898AE3A">
        <w:rPr/>
        <w:t>Possibly</w:t>
      </w:r>
      <w:r w:rsidR="1898AE3A">
        <w:rPr/>
        <w:t xml:space="preserve"> includ</w:t>
      </w:r>
      <w:r w:rsidR="1898AE3A">
        <w:rPr/>
        <w:t>ing</w:t>
      </w:r>
      <w:r w:rsidR="1898AE3A">
        <w:rPr/>
        <w:t xml:space="preserve"> ADOS, virtual assessment, telephone consultation and completion of diagnostic paperwork)</w:t>
      </w:r>
    </w:p>
    <w:p w:rsidR="00C74F5B" w:rsidP="4ED6478D" w:rsidRDefault="00C37204" w14:paraId="0964208A" w14:textId="0D6E592B">
      <w:pPr>
        <w:pStyle w:val="Bulletpoints"/>
        <w:rPr>
          <w:lang w:eastAsia="en-GB"/>
        </w:rPr>
      </w:pPr>
      <w:r w:rsidR="1898AE3A">
        <w:rPr/>
        <w:t xml:space="preserve">Use specialist knowledge to inform clinical judgements/decision making for case management </w:t>
      </w:r>
    </w:p>
    <w:p w:rsidR="00C74F5B" w:rsidP="4ED6478D" w:rsidRDefault="00C37204" w14:paraId="1F3A22DC" w14:textId="575895AF">
      <w:pPr>
        <w:pStyle w:val="Bulletpoints"/>
        <w:rPr>
          <w:lang w:eastAsia="en-GB"/>
        </w:rPr>
      </w:pPr>
      <w:r w:rsidR="1898AE3A">
        <w:rPr/>
        <w:t xml:space="preserve">To accurately collate key information gathered </w:t>
      </w:r>
      <w:r w:rsidR="1898AE3A">
        <w:rPr/>
        <w:t>in order to</w:t>
      </w:r>
      <w:r w:rsidR="1898AE3A">
        <w:rPr/>
        <w:t xml:space="preserve"> come to the most </w:t>
      </w:r>
      <w:r w:rsidR="1898AE3A">
        <w:rPr/>
        <w:t>appropriate diagnostic</w:t>
      </w:r>
      <w:r w:rsidR="1898AE3A">
        <w:rPr/>
        <w:t xml:space="preserve"> outcome through liaison with the child/ young person, their </w:t>
      </w:r>
      <w:r w:rsidR="1898AE3A">
        <w:rPr/>
        <w:t>family</w:t>
      </w:r>
      <w:r w:rsidR="1898AE3A">
        <w:rPr/>
        <w:t xml:space="preserve"> and the Multi-Disciplinary Team</w:t>
      </w:r>
    </w:p>
    <w:p w:rsidR="00C74F5B" w:rsidRDefault="00C74F5B" w14:paraId="1458112A" w14:textId="77777777">
      <w:pPr>
        <w:pStyle w:val="Heading2"/>
        <w:rPr>
          <w:lang w:eastAsia="en-GB"/>
        </w:rPr>
      </w:pPr>
    </w:p>
    <w:p w:rsidR="00C74F5B" w:rsidRDefault="0085247C" w14:paraId="1197376D" w14:textId="77777777">
      <w:pPr>
        <w:pStyle w:val="Heading2"/>
      </w:pPr>
      <w:r>
        <w:t>Our values</w:t>
      </w:r>
    </w:p>
    <w:p w:rsidR="00C74F5B" w:rsidRDefault="0085247C" w14:paraId="713608CB" w14:textId="77777777">
      <w:pPr>
        <w:rPr>
          <w:lang w:eastAsia="en-GB"/>
        </w:rPr>
      </w:pPr>
      <w:r>
        <w:rPr>
          <w:lang w:eastAsia="en-GB"/>
        </w:rPr>
        <w:t>Our values are our moral compass and core to our DNA. They underpin the way we deliver our services and treat those who use our services.</w:t>
      </w:r>
    </w:p>
    <w:p w:rsidR="00C74F5B" w:rsidRDefault="0085247C" w14:paraId="40FC366D" w14:textId="77777777">
      <w:pPr>
        <w:rPr>
          <w:lang w:eastAsia="en-GB"/>
        </w:rPr>
      </w:pPr>
      <w:r>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rsidR="00C74F5B" w:rsidRDefault="0085247C" w14:paraId="26C0D5FB" w14:textId="77777777">
      <w:pPr>
        <w:rPr>
          <w:lang w:val="en-US"/>
        </w:rPr>
      </w:pPr>
      <w:r>
        <w:rPr>
          <w:lang w:val="en-US"/>
        </w:rPr>
        <w:t>We have three values which help us stand out from the crowd, not just because there’s only three, but because they are unique to who we are. We care, we think, and we do.</w:t>
      </w:r>
    </w:p>
    <w:tbl>
      <w:tblPr>
        <w:tblW w:w="10163" w:type="dxa"/>
        <w:tblCellMar>
          <w:left w:w="10" w:type="dxa"/>
          <w:right w:w="10" w:type="dxa"/>
        </w:tblCellMar>
        <w:tblLook w:val="0000" w:firstRow="0" w:lastRow="0" w:firstColumn="0" w:lastColumn="0" w:noHBand="0" w:noVBand="0"/>
      </w:tblPr>
      <w:tblGrid>
        <w:gridCol w:w="3387"/>
        <w:gridCol w:w="3388"/>
        <w:gridCol w:w="3388"/>
      </w:tblGrid>
      <w:tr w:rsidR="00C74F5B" w14:paraId="3003FF34" w14:textId="77777777">
        <w:trPr>
          <w:trHeight w:val="454"/>
        </w:trPr>
        <w:tc>
          <w:tcPr>
            <w:tcW w:w="3387" w:type="dxa"/>
            <w:tcBorders>
              <w:left w:val="single" w:color="B52059" w:sz="4" w:space="0"/>
              <w:right w:val="single" w:color="B52059" w:sz="4" w:space="0"/>
            </w:tcBorders>
            <w:shd w:val="clear" w:color="auto" w:fill="auto"/>
            <w:tcMar>
              <w:top w:w="0" w:type="dxa"/>
              <w:left w:w="108" w:type="dxa"/>
              <w:bottom w:w="0" w:type="dxa"/>
              <w:right w:w="108" w:type="dxa"/>
            </w:tcMar>
            <w:vAlign w:val="center"/>
          </w:tcPr>
          <w:p w:rsidR="00C74F5B" w:rsidRDefault="0085247C" w14:paraId="4EDDC49E" w14:textId="77777777">
            <w:pPr>
              <w:pStyle w:val="Subheader"/>
            </w:pPr>
            <w:r>
              <w:rPr>
                <w:rStyle w:val="BoldredChar"/>
                <w:rFonts w:ascii="Avenir Black" w:hAnsi="Avenir Black"/>
                <w:b/>
                <w:bCs w:val="0"/>
                <w:color w:val="3C3C3B"/>
                <w:sz w:val="24"/>
                <w:lang w:eastAsia="en-GB"/>
              </w:rPr>
              <w:t>Care</w:t>
            </w:r>
          </w:p>
        </w:tc>
        <w:tc>
          <w:tcPr>
            <w:tcW w:w="3388" w:type="dxa"/>
            <w:tcBorders>
              <w:left w:val="single" w:color="B52059" w:sz="4" w:space="0"/>
              <w:right w:val="single" w:color="B52059" w:sz="4" w:space="0"/>
            </w:tcBorders>
            <w:shd w:val="clear" w:color="auto" w:fill="auto"/>
            <w:tcMar>
              <w:top w:w="0" w:type="dxa"/>
              <w:left w:w="108" w:type="dxa"/>
              <w:bottom w:w="0" w:type="dxa"/>
              <w:right w:w="108" w:type="dxa"/>
            </w:tcMar>
            <w:vAlign w:val="center"/>
          </w:tcPr>
          <w:p w:rsidR="00C74F5B" w:rsidRDefault="0085247C" w14:paraId="2CCCB159" w14:textId="77777777">
            <w:pPr>
              <w:pStyle w:val="Subheader"/>
            </w:pPr>
            <w:r>
              <w:rPr>
                <w:rStyle w:val="BoldredChar"/>
                <w:rFonts w:ascii="Avenir Black" w:hAnsi="Avenir Black"/>
                <w:b/>
                <w:bCs w:val="0"/>
                <w:color w:val="3C3C3B"/>
                <w:sz w:val="24"/>
                <w:lang w:eastAsia="en-GB"/>
              </w:rPr>
              <w:t>Think</w:t>
            </w:r>
          </w:p>
        </w:tc>
        <w:tc>
          <w:tcPr>
            <w:tcW w:w="3388" w:type="dxa"/>
            <w:tcBorders>
              <w:left w:val="single" w:color="B52059" w:sz="4" w:space="0"/>
            </w:tcBorders>
            <w:shd w:val="clear" w:color="auto" w:fill="auto"/>
            <w:tcMar>
              <w:top w:w="0" w:type="dxa"/>
              <w:left w:w="108" w:type="dxa"/>
              <w:bottom w:w="0" w:type="dxa"/>
              <w:right w:w="108" w:type="dxa"/>
            </w:tcMar>
            <w:vAlign w:val="center"/>
          </w:tcPr>
          <w:p w:rsidR="00C74F5B" w:rsidRDefault="0085247C" w14:paraId="43BC75E7" w14:textId="77777777">
            <w:pPr>
              <w:pStyle w:val="Subheader"/>
            </w:pPr>
            <w:r>
              <w:rPr>
                <w:rStyle w:val="BoldredChar"/>
                <w:rFonts w:ascii="Avenir Black" w:hAnsi="Avenir Black"/>
                <w:b/>
                <w:bCs w:val="0"/>
                <w:color w:val="3C3C3B"/>
                <w:sz w:val="24"/>
                <w:lang w:eastAsia="en-GB"/>
              </w:rPr>
              <w:t>Do</w:t>
            </w:r>
          </w:p>
        </w:tc>
      </w:tr>
      <w:tr w:rsidR="00C74F5B" w14:paraId="5FD45EEF" w14:textId="77777777">
        <w:trPr>
          <w:trHeight w:val="109"/>
        </w:trPr>
        <w:tc>
          <w:tcPr>
            <w:tcW w:w="3387" w:type="dxa"/>
            <w:tcBorders>
              <w:left w:val="single" w:color="B52059" w:sz="4" w:space="0"/>
              <w:right w:val="single" w:color="B52059" w:sz="4" w:space="0"/>
            </w:tcBorders>
            <w:shd w:val="clear" w:color="auto" w:fill="auto"/>
            <w:tcMar>
              <w:top w:w="113" w:type="dxa"/>
              <w:left w:w="108" w:type="dxa"/>
              <w:bottom w:w="113" w:type="dxa"/>
              <w:right w:w="108" w:type="dxa"/>
            </w:tcMar>
          </w:tcPr>
          <w:p w:rsidR="00C74F5B" w:rsidRDefault="0085247C" w14:paraId="24623107" w14:textId="77777777">
            <w:pPr>
              <w:pStyle w:val="Bulletpoints"/>
              <w:rPr>
                <w:szCs w:val="24"/>
              </w:rPr>
            </w:pPr>
            <w:r>
              <w:rPr>
                <w:szCs w:val="24"/>
              </w:rPr>
              <w:t xml:space="preserve">Inspire </w:t>
            </w:r>
          </w:p>
          <w:p w:rsidR="00C74F5B" w:rsidRDefault="0085247C" w14:paraId="65FFA9CA" w14:textId="77777777">
            <w:pPr>
              <w:pStyle w:val="Bulletpoints"/>
              <w:rPr>
                <w:szCs w:val="24"/>
              </w:rPr>
            </w:pPr>
            <w:r>
              <w:rPr>
                <w:szCs w:val="24"/>
              </w:rPr>
              <w:t>Understand</w:t>
            </w:r>
          </w:p>
          <w:p w:rsidR="00C74F5B" w:rsidRDefault="0085247C" w14:paraId="1C2198D4" w14:textId="77777777">
            <w:pPr>
              <w:pStyle w:val="Bulletpoints"/>
              <w:rPr>
                <w:szCs w:val="24"/>
              </w:rPr>
            </w:pPr>
            <w:r>
              <w:rPr>
                <w:szCs w:val="24"/>
              </w:rPr>
              <w:t>Communicate</w:t>
            </w:r>
          </w:p>
        </w:tc>
        <w:tc>
          <w:tcPr>
            <w:tcW w:w="3388" w:type="dxa"/>
            <w:tcBorders>
              <w:left w:val="single" w:color="B52059" w:sz="4" w:space="0"/>
              <w:right w:val="single" w:color="B52059" w:sz="4" w:space="0"/>
            </w:tcBorders>
            <w:shd w:val="clear" w:color="auto" w:fill="auto"/>
            <w:tcMar>
              <w:top w:w="113" w:type="dxa"/>
              <w:left w:w="108" w:type="dxa"/>
              <w:bottom w:w="113" w:type="dxa"/>
              <w:right w:w="108" w:type="dxa"/>
            </w:tcMar>
          </w:tcPr>
          <w:p w:rsidR="00C74F5B" w:rsidRDefault="0085247C" w14:paraId="4FF0CCD0" w14:textId="77777777">
            <w:pPr>
              <w:pStyle w:val="Bulletpoints"/>
              <w:rPr>
                <w:szCs w:val="24"/>
                <w:lang w:eastAsia="en-GB"/>
              </w:rPr>
            </w:pPr>
            <w:r>
              <w:rPr>
                <w:szCs w:val="24"/>
                <w:lang w:eastAsia="en-GB"/>
              </w:rPr>
              <w:t>Challenge</w:t>
            </w:r>
          </w:p>
          <w:p w:rsidR="00C74F5B" w:rsidRDefault="0085247C" w14:paraId="63EE328F" w14:textId="77777777">
            <w:pPr>
              <w:pStyle w:val="Bulletpoints"/>
              <w:rPr>
                <w:szCs w:val="24"/>
                <w:lang w:eastAsia="en-GB"/>
              </w:rPr>
            </w:pPr>
            <w:r>
              <w:rPr>
                <w:szCs w:val="24"/>
                <w:lang w:eastAsia="en-GB"/>
              </w:rPr>
              <w:t>Improve</w:t>
            </w:r>
          </w:p>
          <w:p w:rsidR="00C74F5B" w:rsidRDefault="0085247C" w14:paraId="44168079" w14:textId="77777777">
            <w:pPr>
              <w:pStyle w:val="Bulletpoints"/>
            </w:pPr>
            <w:r>
              <w:rPr>
                <w:szCs w:val="24"/>
                <w:lang w:eastAsia="en-GB"/>
              </w:rPr>
              <w:t>Learn</w:t>
            </w:r>
          </w:p>
        </w:tc>
        <w:tc>
          <w:tcPr>
            <w:tcW w:w="3388" w:type="dxa"/>
            <w:tcBorders>
              <w:left w:val="single" w:color="B52059" w:sz="4" w:space="0"/>
            </w:tcBorders>
            <w:shd w:val="clear" w:color="auto" w:fill="auto"/>
            <w:tcMar>
              <w:top w:w="113" w:type="dxa"/>
              <w:left w:w="108" w:type="dxa"/>
              <w:bottom w:w="113" w:type="dxa"/>
              <w:right w:w="108" w:type="dxa"/>
            </w:tcMar>
          </w:tcPr>
          <w:p w:rsidR="00C74F5B" w:rsidRDefault="0085247C" w14:paraId="2E4B8AB5" w14:textId="77777777">
            <w:pPr>
              <w:pStyle w:val="Bulletpoints"/>
              <w:rPr>
                <w:szCs w:val="24"/>
              </w:rPr>
            </w:pPr>
            <w:r>
              <w:rPr>
                <w:szCs w:val="24"/>
              </w:rPr>
              <w:t>Accountability</w:t>
            </w:r>
          </w:p>
          <w:p w:rsidR="00C74F5B" w:rsidRDefault="0085247C" w14:paraId="2315190C" w14:textId="77777777">
            <w:pPr>
              <w:pStyle w:val="Bulletpoints"/>
              <w:rPr>
                <w:szCs w:val="24"/>
              </w:rPr>
            </w:pPr>
            <w:r>
              <w:rPr>
                <w:szCs w:val="24"/>
              </w:rPr>
              <w:t>Involve</w:t>
            </w:r>
          </w:p>
          <w:p w:rsidR="00C74F5B" w:rsidRDefault="0085247C" w14:paraId="7B6EAC49" w14:textId="77777777">
            <w:pPr>
              <w:pStyle w:val="Bulletpoints"/>
            </w:pPr>
            <w:r>
              <w:rPr>
                <w:szCs w:val="24"/>
              </w:rPr>
              <w:t>Resilience</w:t>
            </w:r>
          </w:p>
        </w:tc>
      </w:tr>
    </w:tbl>
    <w:p w:rsidR="00C74F5B" w:rsidRDefault="0085247C" w14:paraId="714ADEBF" w14:textId="77777777">
      <w:pPr>
        <w:pStyle w:val="Heading2"/>
      </w:pPr>
      <w:r>
        <w:lastRenderedPageBreak/>
        <w:t>Confidentiality and Information Security</w:t>
      </w:r>
    </w:p>
    <w:p w:rsidR="00C74F5B" w:rsidRDefault="0085247C" w14:paraId="6050431D" w14:textId="77777777">
      <w:r>
        <w:t>As our employee you will be required to uphold the confidentiality of all records held by the company, whether patients/service records or corporate information. This duty lasts indefinitely and will continue after you leave the company’s employment.</w:t>
      </w:r>
    </w:p>
    <w:p w:rsidR="00C74F5B" w:rsidRDefault="0085247C" w14:paraId="022BA7F3" w14:textId="77777777">
      <w:r>
        <w:t xml:space="preserve">All information which identifies living individuals in whatever form (paper/pictures, electronic data/images or voice) is covered by the 2018 Data Protection Act and should be managed in accordance with this legislation. This and all other information must be held in line with NHS national standards including the </w:t>
      </w:r>
      <w:hyperlink w:history="1" r:id="rId7">
        <w:r>
          <w:rPr>
            <w:rStyle w:val="Hyperlink"/>
            <w:color w:val="3C3C3B"/>
          </w:rPr>
          <w:t> Records Management:  NHS Code of Practice</w:t>
        </w:r>
      </w:hyperlink>
      <w:r>
        <w:t xml:space="preserve"> , </w:t>
      </w:r>
      <w:hyperlink w:history="1" r:id="rId8">
        <w:r>
          <w:rPr>
            <w:rStyle w:val="Hyperlink"/>
            <w:color w:val="3C3C3B"/>
          </w:rPr>
          <w:t>NHS Constitution</w:t>
        </w:r>
      </w:hyperlink>
      <w:r>
        <w:t xml:space="preserve"> and </w:t>
      </w:r>
      <w:hyperlink w:history="1" r:id="rId9">
        <w:r>
          <w:rPr>
            <w:rStyle w:val="Hyperlink"/>
            <w:color w:val="3C3C3B"/>
          </w:rPr>
          <w:t>HSCIC Code of Practice on Confidential Information</w:t>
        </w:r>
      </w:hyperlink>
      <w:r>
        <w:t xml:space="preserve"> and should only be accessed or disclosed lawfully. Monitoring of compliance will be undertaken by the Company. Failure to adhere to Information Governance policies and procedures may result in disciplinary action and, where applicable, criminal prosecution.</w:t>
      </w:r>
    </w:p>
    <w:p w:rsidR="00C74F5B" w:rsidRDefault="00C74F5B" w14:paraId="5FD6C4C8" w14:textId="77777777"/>
    <w:p w:rsidR="00C74F5B" w:rsidRDefault="0085247C" w14:paraId="4D480CA4" w14:textId="77777777">
      <w:pPr>
        <w:pStyle w:val="Heading2"/>
      </w:pPr>
      <w:r>
        <w:t>Information governance responsibilities</w:t>
      </w:r>
    </w:p>
    <w:p w:rsidR="00C74F5B" w:rsidRDefault="0085247C" w14:paraId="6019D435" w14:textId="77777777">
      <w:r>
        <w:t>You are responsible for the following key aspects of Information Governance (not an exhaustive list):</w:t>
      </w:r>
    </w:p>
    <w:p w:rsidR="00C74F5B" w:rsidRDefault="0085247C" w14:paraId="59EECCEB" w14:textId="77777777">
      <w:pPr>
        <w:pStyle w:val="Bulletpoints"/>
      </w:pPr>
      <w:r>
        <w:t>Completion of annual information governance training</w:t>
      </w:r>
    </w:p>
    <w:p w:rsidR="00C74F5B" w:rsidRDefault="0085247C" w14:paraId="39384124" w14:textId="77777777">
      <w:pPr>
        <w:pStyle w:val="Bulletpoints"/>
      </w:pPr>
      <w:r>
        <w:t xml:space="preserve">Reading applicable policies and procedures </w:t>
      </w:r>
    </w:p>
    <w:p w:rsidR="00C74F5B" w:rsidRDefault="0085247C" w14:paraId="3E27DFE4" w14:textId="77777777">
      <w:pPr>
        <w:pStyle w:val="Bulletpoints"/>
      </w:pPr>
      <w:r>
        <w:t>Understanding key responsibilities outlined in the Information Governance acceptable usage policies and procedures including NHS mandated encryption requirements</w:t>
      </w:r>
    </w:p>
    <w:p w:rsidR="00C74F5B" w:rsidRDefault="0085247C" w14:paraId="1AC4F131" w14:textId="77777777">
      <w:pPr>
        <w:pStyle w:val="Bulletpoints"/>
      </w:pPr>
      <w:r>
        <w:t xml:space="preserve">Ensuring the security and confidentiality of all records and personal information assets </w:t>
      </w:r>
    </w:p>
    <w:p w:rsidR="00C74F5B" w:rsidRDefault="0085247C" w14:paraId="1065A398" w14:textId="77777777">
      <w:pPr>
        <w:pStyle w:val="Bulletpoints"/>
      </w:pPr>
      <w:r>
        <w:t xml:space="preserve">Maintaining timely and accurate record keeping and where appropriate, in accordance with professional guidelines </w:t>
      </w:r>
    </w:p>
    <w:p w:rsidR="00C74F5B" w:rsidRDefault="0085247C" w14:paraId="2641B9F0" w14:textId="77777777">
      <w:pPr>
        <w:pStyle w:val="Bulletpoints"/>
      </w:pPr>
      <w:r>
        <w:t>Only using email accounts authorised by us. These should be used in accordance with the Sending and Transferring Information Securely Procedures and Acceptable Use Policies.</w:t>
      </w:r>
    </w:p>
    <w:p w:rsidR="00C74F5B" w:rsidRDefault="0085247C" w14:paraId="4286FD1C" w14:textId="77777777">
      <w:pPr>
        <w:pStyle w:val="Bulletpoints"/>
      </w:pPr>
      <w:r>
        <w:t>Reporting information governance incidents and near misses on CIRIS or to the appropriate person e.g. line manager, Head of Information Governance, Information Security Lead</w:t>
      </w:r>
    </w:p>
    <w:p w:rsidR="00C74F5B" w:rsidRDefault="0085247C" w14:paraId="4FA8FB9B" w14:textId="77777777">
      <w:pPr>
        <w:pStyle w:val="Bulletpoints"/>
      </w:pPr>
      <w:r>
        <w:lastRenderedPageBreak/>
        <w:t xml:space="preserve">Adherence to the clear desk/screen policy </w:t>
      </w:r>
    </w:p>
    <w:p w:rsidR="00C74F5B" w:rsidRDefault="0085247C" w14:paraId="20C93A62" w14:textId="77777777">
      <w:pPr>
        <w:pStyle w:val="Bulletpoints"/>
      </w:pPr>
      <w:r>
        <w:t>Only using approved equipment for conducting business</w:t>
      </w:r>
    </w:p>
    <w:p w:rsidR="00C74F5B" w:rsidRDefault="00C74F5B" w14:paraId="62D1899B" w14:textId="77777777">
      <w:pPr>
        <w:pStyle w:val="Bulletpoints"/>
        <w:numPr>
          <w:ilvl w:val="0"/>
          <w:numId w:val="0"/>
        </w:numPr>
        <w:ind w:left="284" w:hanging="283"/>
      </w:pPr>
    </w:p>
    <w:p w:rsidR="00C74F5B" w:rsidRDefault="0085247C" w14:paraId="1B98EE81" w14:textId="77777777">
      <w:pPr>
        <w:pStyle w:val="Heading2"/>
      </w:pPr>
      <w:r>
        <w:t>Governance</w:t>
      </w:r>
    </w:p>
    <w:p w:rsidR="00C74F5B" w:rsidRDefault="0085247C" w14:paraId="5502939E" w14:textId="77777777">
      <w:r>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rsidR="00C74F5B" w:rsidRDefault="00C74F5B" w14:paraId="5EE5FC8C" w14:textId="77777777"/>
    <w:p w:rsidR="00C74F5B" w:rsidRDefault="0085247C" w14:paraId="38167322" w14:textId="77777777">
      <w:pPr>
        <w:pStyle w:val="Heading2"/>
      </w:pPr>
      <w:r>
        <w:t>Registered Health Professional</w:t>
      </w:r>
    </w:p>
    <w:p w:rsidR="00C74F5B" w:rsidRDefault="0085247C" w14:paraId="504BA4E2" w14:textId="77777777">
      <w:r>
        <w:t>All staff who are a member of a professional body must comply with standards of professional practice/conduct. It is the post holder’s responsibility to ensure they are both familiar with and adhere to these requirements.</w:t>
      </w:r>
    </w:p>
    <w:p w:rsidR="00C74F5B" w:rsidRDefault="00C74F5B" w14:paraId="01016186" w14:textId="77777777"/>
    <w:p w:rsidR="00C74F5B" w:rsidRDefault="0085247C" w14:paraId="2D0708FA" w14:textId="77777777">
      <w:pPr>
        <w:pStyle w:val="Heading2"/>
      </w:pPr>
      <w:r>
        <w:t>Risk Management/Health &amp; Safety</w:t>
      </w:r>
    </w:p>
    <w:p w:rsidR="00C74F5B" w:rsidRDefault="0085247C" w14:paraId="01F03A9D" w14:textId="77777777">
      <w:r>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rsidR="00C74F5B" w:rsidRDefault="0085247C" w14:paraId="78054534" w14:textId="77777777">
      <w:r>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rsidR="00C74F5B" w:rsidRDefault="0085247C" w14:paraId="7D3CCBDF" w14:textId="77777777">
      <w:r>
        <w:lastRenderedPageBreak/>
        <w:t>All staff must report accidents, incidents and near misses so that the company can learn from them and improve safety.</w:t>
      </w:r>
    </w:p>
    <w:p w:rsidR="00C74F5B" w:rsidRDefault="00C74F5B" w14:paraId="2066196F" w14:textId="77777777"/>
    <w:p w:rsidR="00C74F5B" w:rsidRDefault="0085247C" w14:paraId="07EA6EB3" w14:textId="77777777">
      <w:pPr>
        <w:pStyle w:val="Heading2"/>
      </w:pPr>
      <w:r>
        <w:t>Safeguarding Children and Vulnerable Adults Responsibility</w:t>
      </w:r>
    </w:p>
    <w:p w:rsidR="00C74F5B" w:rsidRDefault="0085247C" w14:paraId="47A5856B" w14:textId="77777777">
      <w:r>
        <w:t>We are committed to safeguarding and promoting the welfare of children and adults at risk of harm and expects all employees to share this commitment. </w:t>
      </w:r>
    </w:p>
    <w:p w:rsidR="00C74F5B" w:rsidRDefault="00C74F5B" w14:paraId="33FC4325" w14:textId="77777777"/>
    <w:p w:rsidR="00C74F5B" w:rsidRDefault="0085247C" w14:paraId="6FA8C425" w14:textId="77777777">
      <w:pPr>
        <w:pStyle w:val="Heading2"/>
      </w:pPr>
      <w:r>
        <w:t>Medicines Management Responsibility</w:t>
      </w:r>
    </w:p>
    <w:p w:rsidR="00C74F5B" w:rsidRDefault="0085247C" w14:paraId="3879BA40" w14:textId="77777777">
      <w:pPr>
        <w:pStyle w:val="Subheader"/>
      </w:pPr>
      <w:r>
        <w:t>Nursing or registered healthcare professionals</w:t>
      </w:r>
    </w:p>
    <w:p w:rsidR="00C74F5B" w:rsidRDefault="0085247C" w14:paraId="30EAF800" w14:textId="77777777">
      <w:r>
        <w:t xml:space="preserve">Undertake all aspects of medicines management related activities in accordance within the company’s medicines policies to ensure the safe, legal and appropriate use of medicines. </w:t>
      </w:r>
    </w:p>
    <w:p w:rsidR="00C74F5B" w:rsidRDefault="0085247C" w14:paraId="4138EE2B" w14:textId="77777777">
      <w:pPr>
        <w:pStyle w:val="Subheader"/>
      </w:pPr>
      <w:r>
        <w:t>Skilled non-registered staff</w:t>
      </w:r>
    </w:p>
    <w:p w:rsidR="00C74F5B" w:rsidRDefault="0085247C" w14:paraId="4015BD1D" w14:textId="77777777">
      <w:r>
        <w:t>Undertake all aspects of medicines management related activities in accordance with the company’s medicines policy where appropriate training has been given and competencies have been achieved.</w:t>
      </w:r>
    </w:p>
    <w:p w:rsidR="00C74F5B" w:rsidRDefault="00C74F5B" w14:paraId="1D04E50B" w14:textId="77777777"/>
    <w:p w:rsidR="00C74F5B" w:rsidRDefault="0085247C" w14:paraId="5FD392DD" w14:textId="77777777">
      <w:pPr>
        <w:pStyle w:val="Heading2"/>
      </w:pPr>
      <w:r>
        <w:t>Policies and Procedures</w:t>
      </w:r>
    </w:p>
    <w:p w:rsidR="00C74F5B" w:rsidRDefault="0085247C" w14:paraId="52B60725" w14:textId="77777777">
      <w:r>
        <w:t>All colleagues must comply with the Company Policies and Procedures which can be found on the company intranet.</w:t>
      </w:r>
    </w:p>
    <w:p w:rsidR="00C74F5B" w:rsidRDefault="00C74F5B" w14:paraId="2C3CEEA2" w14:textId="77777777"/>
    <w:p w:rsidR="00C74F5B" w:rsidRDefault="0085247C" w14:paraId="389B8EAD" w14:textId="77777777">
      <w:pPr>
        <w:pStyle w:val="Heading2"/>
      </w:pPr>
      <w:r>
        <w:t>General</w:t>
      </w:r>
    </w:p>
    <w:p w:rsidR="00C74F5B" w:rsidRDefault="0085247C" w14:paraId="42BD43D0" w14:textId="77777777">
      <w: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rsidR="00C74F5B" w:rsidRDefault="0085247C" w14:paraId="71DF488B" w14:textId="77777777">
      <w:r>
        <w:lastRenderedPageBreak/>
        <w:t>We recruit competent staff that we support in maintaining and extending their skills in accordance with the needs of the people we serve. We will recognise the commitment from our staff to meeting the needs of our patients.</w:t>
      </w:r>
    </w:p>
    <w:p w:rsidR="00C74F5B" w:rsidRDefault="0085247C" w14:paraId="1DEEEF5D" w14:textId="77777777">
      <w:r>
        <w:t>The company recognises a “non-smoking” policy. Employees are not able to smoke anywhere within the premises or when outside on official business.</w:t>
      </w:r>
    </w:p>
    <w:p w:rsidR="00C74F5B" w:rsidRDefault="00C74F5B" w14:paraId="726187CB" w14:textId="77777777"/>
    <w:p w:rsidR="00C74F5B" w:rsidRDefault="0085247C" w14:paraId="22A35BC0" w14:textId="77777777">
      <w:pPr>
        <w:pStyle w:val="Heading2"/>
      </w:pPr>
      <w:r>
        <w:t>Equal Opportunities</w:t>
      </w:r>
    </w:p>
    <w:p w:rsidR="00C74F5B" w:rsidRDefault="0085247C" w14:paraId="7003A8E4" w14:textId="77777777">
      <w:r>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rsidR="00C74F5B" w:rsidRDefault="00C74F5B" w14:paraId="5773325B" w14:textId="77777777"/>
    <w:p w:rsidR="00C74F5B" w:rsidRDefault="0085247C" w14:paraId="795FACE4" w14:textId="77777777">
      <w:pPr>
        <w:pStyle w:val="Heading2"/>
      </w:pPr>
      <w:r>
        <w:t>Flexibility Statement</w:t>
      </w:r>
    </w:p>
    <w:p w:rsidR="00C74F5B" w:rsidRDefault="0085247C" w14:paraId="66788CE1" w14:textId="77777777">
      <w:r>
        <w:t>This job description is not exhaustive and may change as the post develops or changes to align with service needs. Any such changes will be discussed directly between the post holder and their line manager.</w:t>
      </w:r>
    </w:p>
    <w:p w:rsidR="00C74F5B" w:rsidP="4ED6478D" w:rsidRDefault="0085247C" w14:paraId="02223BC7" w14:textId="77777777">
      <w:pPr>
        <w:pStyle w:val="Heading2"/>
        <w:rPr>
          <w:rFonts w:ascii="Avenir Black" w:hAnsi="Avenir Black" w:eastAsia="Avenir Black" w:cs="Avenir Black"/>
        </w:rPr>
      </w:pPr>
      <w:r w:rsidR="1B5F2748">
        <w:rPr/>
        <w:t>Pers</w:t>
      </w:r>
      <w:r w:rsidRPr="4ED6478D" w:rsidR="1B5F2748">
        <w:rPr>
          <w:rFonts w:ascii="Avenir Black" w:hAnsi="Avenir Black" w:eastAsia="Avenir Black" w:cs="Avenir Black"/>
        </w:rPr>
        <w:t>onal Specification</w:t>
      </w:r>
    </w:p>
    <w:p w:rsidR="00C74F5B" w:rsidP="4ED6478D" w:rsidRDefault="0085247C" w14:paraId="765BE8DA" w14:textId="77777777">
      <w:pPr>
        <w:pStyle w:val="Subheader"/>
        <w:rPr>
          <w:rFonts w:ascii="Avenir Black" w:hAnsi="Avenir Black" w:eastAsia="Avenir Black" w:cs="Avenir Black"/>
        </w:rPr>
      </w:pPr>
      <w:r w:rsidRPr="4ED6478D" w:rsidR="1B5F2748">
        <w:rPr>
          <w:rFonts w:ascii="Avenir Black" w:hAnsi="Avenir Black" w:eastAsia="Avenir Black" w:cs="Avenir Black"/>
        </w:rPr>
        <w:t>Essential</w:t>
      </w:r>
    </w:p>
    <w:p w:rsidR="00764752" w:rsidP="4ED6478D" w:rsidRDefault="00764752" w14:paraId="2EB4D22F" w14:textId="71418827">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Recognised health professional degree qualification or equivalent</w:t>
      </w:r>
    </w:p>
    <w:p w:rsidR="00764752" w:rsidP="4ED6478D" w:rsidRDefault="00764752" w14:paraId="7DEA4320" w14:textId="4E5EFDA8">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Registration with relevant professional body </w:t>
      </w:r>
      <w:r w:rsidRPr="4ED6478D" w:rsidR="7CBD874C">
        <w:rPr>
          <w:rFonts w:ascii="Avenir Black" w:hAnsi="Avenir Black" w:eastAsia="Avenir Black" w:cs="Avenir Black"/>
          <w:b w:val="0"/>
          <w:bCs w:val="0"/>
        </w:rPr>
        <w:t>(and Health Professionals Council if relevant)</w:t>
      </w:r>
    </w:p>
    <w:p w:rsidR="00764752" w:rsidP="4ED6478D" w:rsidRDefault="00764752" w14:paraId="623C2FFC" w14:textId="077E1BC3">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Knowledge of assessment tools relevant to children and young people with social communication </w:t>
      </w:r>
      <w:r w:rsidRPr="4ED6478D" w:rsidR="47FE57BD">
        <w:rPr>
          <w:rFonts w:ascii="Avenir Black" w:hAnsi="Avenir Black" w:eastAsia="Avenir Black" w:cs="Avenir Black"/>
          <w:b w:val="0"/>
          <w:bCs w:val="0"/>
        </w:rPr>
        <w:t>differences and attention</w:t>
      </w:r>
      <w:r w:rsidRPr="4ED6478D" w:rsidR="18168367">
        <w:rPr>
          <w:rFonts w:ascii="Avenir Black" w:hAnsi="Avenir Black" w:eastAsia="Avenir Black" w:cs="Avenir Black"/>
          <w:b w:val="0"/>
          <w:bCs w:val="0"/>
        </w:rPr>
        <w:t xml:space="preserve"> </w:t>
      </w:r>
      <w:r w:rsidRPr="4ED6478D" w:rsidR="47FE57BD">
        <w:rPr>
          <w:rFonts w:ascii="Avenir Black" w:hAnsi="Avenir Black" w:eastAsia="Avenir Black" w:cs="Avenir Black"/>
          <w:b w:val="0"/>
          <w:bCs w:val="0"/>
        </w:rPr>
        <w:t>differences</w:t>
      </w:r>
      <w:r w:rsidRPr="4ED6478D" w:rsidR="47FE57BD">
        <w:rPr>
          <w:rFonts w:ascii="Avenir Black" w:hAnsi="Avenir Black" w:eastAsia="Avenir Black" w:cs="Avenir Black"/>
          <w:b w:val="0"/>
          <w:bCs w:val="0"/>
        </w:rPr>
        <w:t xml:space="preserve"> </w:t>
      </w:r>
    </w:p>
    <w:p w:rsidR="00764752" w:rsidP="4ED6478D" w:rsidRDefault="00764752" w14:paraId="23C5D4DA" w14:textId="60B26B2F">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Knowledge of national policies and procedures relevant to the specialist client group such as NICE guidelines </w:t>
      </w:r>
    </w:p>
    <w:p w:rsidR="00764752" w:rsidP="4ED6478D" w:rsidRDefault="00764752" w14:paraId="19CB0ED7" w14:textId="604E575F">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 Up to date knowledge of relevant research and developments in the field of autism </w:t>
      </w:r>
    </w:p>
    <w:p w:rsidR="00764752" w:rsidP="4ED6478D" w:rsidRDefault="00764752" w14:paraId="06F44C15" w14:textId="7BB43163">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Knowledge of evidence-based practice within the field of autism </w:t>
      </w:r>
    </w:p>
    <w:p w:rsidR="00764752" w:rsidP="4ED6478D" w:rsidRDefault="00764752" w14:paraId="096F370C" w14:textId="56A5D2B6">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In depth knowledge of a range of </w:t>
      </w:r>
      <w:r w:rsidRPr="4ED6478D" w:rsidR="47FE57BD">
        <w:rPr>
          <w:rFonts w:ascii="Avenir Black" w:hAnsi="Avenir Black" w:eastAsia="Avenir Black" w:cs="Avenir Black"/>
          <w:b w:val="0"/>
          <w:bCs w:val="0"/>
        </w:rPr>
        <w:t>appropriate interventions</w:t>
      </w:r>
      <w:r w:rsidRPr="4ED6478D" w:rsidR="47FE57BD">
        <w:rPr>
          <w:rFonts w:ascii="Avenir Black" w:hAnsi="Avenir Black" w:eastAsia="Avenir Black" w:cs="Avenir Black"/>
          <w:b w:val="0"/>
          <w:bCs w:val="0"/>
        </w:rPr>
        <w:t xml:space="preserve"> relevant to the client group and an ability to </w:t>
      </w:r>
      <w:r w:rsidRPr="4ED6478D" w:rsidR="47FE57BD">
        <w:rPr>
          <w:rFonts w:ascii="Avenir Black" w:hAnsi="Avenir Black" w:eastAsia="Avenir Black" w:cs="Avenir Black"/>
          <w:b w:val="0"/>
          <w:bCs w:val="0"/>
        </w:rPr>
        <w:t>compare and contrast</w:t>
      </w:r>
      <w:r w:rsidRPr="4ED6478D" w:rsidR="47FE57BD">
        <w:rPr>
          <w:rFonts w:ascii="Avenir Black" w:hAnsi="Avenir Black" w:eastAsia="Avenir Black" w:cs="Avenir Black"/>
          <w:b w:val="0"/>
          <w:bCs w:val="0"/>
        </w:rPr>
        <w:t xml:space="preserve"> relative benefits</w:t>
      </w:r>
    </w:p>
    <w:p w:rsidR="00764752" w:rsidP="4ED6478D" w:rsidRDefault="00764752" w14:paraId="3715B0DC" w14:textId="30D2406C">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 Understanding of the roles of other professionals relevant to the client group</w:t>
      </w:r>
    </w:p>
    <w:p w:rsidR="00764752" w:rsidP="4ED6478D" w:rsidRDefault="00764752" w14:paraId="25716750" w14:textId="2557EB9E">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 Excellent interpersonal skills – including observation, </w:t>
      </w:r>
      <w:r w:rsidRPr="4ED6478D" w:rsidR="47FE57BD">
        <w:rPr>
          <w:rFonts w:ascii="Avenir Black" w:hAnsi="Avenir Black" w:eastAsia="Avenir Black" w:cs="Avenir Black"/>
          <w:b w:val="0"/>
          <w:bCs w:val="0"/>
        </w:rPr>
        <w:t>listening</w:t>
      </w:r>
      <w:r w:rsidRPr="4ED6478D" w:rsidR="47FE57BD">
        <w:rPr>
          <w:rFonts w:ascii="Avenir Black" w:hAnsi="Avenir Black" w:eastAsia="Avenir Black" w:cs="Avenir Black"/>
          <w:b w:val="0"/>
          <w:bCs w:val="0"/>
        </w:rPr>
        <w:t xml:space="preserve"> and empathy skills </w:t>
      </w:r>
    </w:p>
    <w:p w:rsidR="47FE57BD" w:rsidP="4ED6478D" w:rsidRDefault="47FE57BD" w14:paraId="2146616A" w14:textId="461E791C">
      <w:pPr>
        <w:pStyle w:val="Subheader"/>
        <w:numPr>
          <w:ilvl w:val="0"/>
          <w:numId w:val="5"/>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Negotiation and problem-solving skills </w:t>
      </w:r>
    </w:p>
    <w:p w:rsidR="47FE57BD" w:rsidP="4ED6478D" w:rsidRDefault="47FE57BD" w14:paraId="68043FA6" w14:textId="14FCBCEF">
      <w:pPr>
        <w:pStyle w:val="Subheader"/>
        <w:numPr>
          <w:ilvl w:val="0"/>
          <w:numId w:val="4"/>
        </w:numPr>
        <w:rPr>
          <w:rFonts w:ascii="Avenir Black" w:hAnsi="Avenir Black" w:eastAsia="Avenir Black" w:cs="Avenir Black"/>
          <w:b w:val="0"/>
          <w:bCs w:val="0"/>
        </w:rPr>
      </w:pPr>
      <w:r w:rsidRPr="4ED6478D" w:rsidR="47FE57BD">
        <w:rPr>
          <w:rFonts w:ascii="Avenir Black" w:hAnsi="Avenir Black" w:eastAsia="Avenir Black" w:cs="Avenir Black"/>
          <w:b w:val="0"/>
          <w:bCs w:val="0"/>
        </w:rPr>
        <w:t xml:space="preserve">Excellent presentation skills both written and </w:t>
      </w:r>
      <w:r w:rsidRPr="4ED6478D" w:rsidR="47FE57BD">
        <w:rPr>
          <w:rFonts w:ascii="Avenir Black" w:hAnsi="Avenir Black" w:eastAsia="Avenir Black" w:cs="Avenir Black"/>
          <w:b w:val="0"/>
          <w:bCs w:val="0"/>
        </w:rPr>
        <w:t>verbal</w:t>
      </w:r>
    </w:p>
    <w:p w:rsidR="47FE57BD" w:rsidP="4ED6478D" w:rsidRDefault="47FE57BD" w14:paraId="07885F2D" w14:textId="6E251529">
      <w:pPr>
        <w:pStyle w:val="Subheader"/>
        <w:numPr>
          <w:ilvl w:val="0"/>
          <w:numId w:val="4"/>
        </w:numPr>
        <w:rPr>
          <w:rFonts w:ascii="Avenir Black" w:hAnsi="Avenir Black" w:eastAsia="Avenir Black" w:cs="Avenir Black"/>
          <w:b w:val="0"/>
          <w:bCs w:val="0"/>
        </w:rPr>
      </w:pPr>
      <w:r w:rsidRPr="4ED6478D" w:rsidR="47FE57BD">
        <w:rPr>
          <w:rFonts w:ascii="Avenir Black" w:hAnsi="Avenir Black" w:eastAsia="Avenir Black" w:cs="Avenir Black"/>
          <w:b w:val="0"/>
          <w:bCs w:val="0"/>
        </w:rPr>
        <w:t>Excellent</w:t>
      </w:r>
      <w:r w:rsidRPr="4ED6478D" w:rsidR="47FE57BD">
        <w:rPr>
          <w:rFonts w:ascii="Avenir Black" w:hAnsi="Avenir Black" w:eastAsia="Avenir Black" w:cs="Avenir Black"/>
          <w:b w:val="0"/>
          <w:bCs w:val="0"/>
        </w:rPr>
        <w:t xml:space="preserve"> organisational and diary management skill</w:t>
      </w:r>
    </w:p>
    <w:p w:rsidR="693BF8D4" w:rsidP="4ED6478D" w:rsidRDefault="693BF8D4" w14:paraId="1FD05584" w14:textId="5A32C935">
      <w:pPr>
        <w:pStyle w:val="Subheader"/>
        <w:numPr>
          <w:ilvl w:val="0"/>
          <w:numId w:val="4"/>
        </w:numPr>
        <w:rPr>
          <w:rFonts w:ascii="Avenir Black" w:hAnsi="Avenir Black" w:eastAsia="Avenir Black" w:cs="Avenir Black"/>
          <w:b w:val="0"/>
          <w:bCs w:val="0"/>
        </w:rPr>
      </w:pPr>
      <w:r w:rsidRPr="4ED6478D" w:rsidR="693BF8D4">
        <w:rPr>
          <w:rFonts w:ascii="Avenir Black" w:hAnsi="Avenir Black" w:eastAsia="Avenir Black" w:cs="Avenir Black"/>
          <w:b w:val="0"/>
          <w:bCs w:val="0"/>
        </w:rPr>
        <w:t xml:space="preserve">Ability to travel to </w:t>
      </w:r>
      <w:r w:rsidRPr="4ED6478D" w:rsidR="11964720">
        <w:rPr>
          <w:rFonts w:ascii="Avenir Black" w:hAnsi="Avenir Black" w:eastAsia="Avenir Black" w:cs="Avenir Black"/>
          <w:b w:val="0"/>
          <w:bCs w:val="0"/>
        </w:rPr>
        <w:t xml:space="preserve">community </w:t>
      </w:r>
      <w:r w:rsidRPr="4ED6478D" w:rsidR="693BF8D4">
        <w:rPr>
          <w:rFonts w:ascii="Avenir Black" w:hAnsi="Avenir Black" w:eastAsia="Avenir Black" w:cs="Avenir Black"/>
          <w:b w:val="0"/>
          <w:bCs w:val="0"/>
        </w:rPr>
        <w:t xml:space="preserve">locations (including rural areas) </w:t>
      </w:r>
    </w:p>
    <w:p w:rsidR="00764752" w:rsidP="4ED6478D" w:rsidRDefault="00764752" w14:paraId="0B5CF301" w14:textId="77777777">
      <w:pPr>
        <w:pStyle w:val="Bulletpoints"/>
        <w:numPr>
          <w:ilvl w:val="0"/>
          <w:numId w:val="0"/>
        </w:numPr>
        <w:rPr>
          <w:rFonts w:ascii="Avenir Black" w:hAnsi="Avenir Black" w:eastAsia="Avenir Black" w:cs="Avenir Black"/>
          <w:b w:val="1"/>
          <w:bCs w:val="1"/>
        </w:rPr>
      </w:pPr>
      <w:r w:rsidRPr="4ED6478D" w:rsidR="47FE57BD">
        <w:rPr>
          <w:rFonts w:ascii="Avenir Black" w:hAnsi="Avenir Black" w:eastAsia="Avenir Black" w:cs="Avenir Black"/>
          <w:b w:val="1"/>
          <w:bCs w:val="1"/>
        </w:rPr>
        <w:t xml:space="preserve">Desirable </w:t>
      </w:r>
    </w:p>
    <w:p w:rsidR="00764752" w:rsidP="4ED6478D" w:rsidRDefault="00764752" w14:paraId="7BFE4171" w14:textId="6AF450F5">
      <w:pPr>
        <w:pStyle w:val="Bulletpoints"/>
        <w:numPr>
          <w:ilvl w:val="0"/>
          <w:numId w:val="0"/>
        </w:numPr>
        <w:rPr>
          <w:rFonts w:ascii="Avenir Black" w:hAnsi="Avenir Black" w:eastAsia="Avenir Black" w:cs="Avenir Black"/>
          <w:b w:val="1"/>
          <w:bCs w:val="1"/>
        </w:rPr>
      </w:pPr>
      <w:r w:rsidRPr="4ED6478D" w:rsidR="47FE57BD">
        <w:rPr>
          <w:rFonts w:ascii="Avenir Black" w:hAnsi="Avenir Black" w:eastAsia="Avenir Black" w:cs="Avenir Black"/>
          <w:b w:val="1"/>
          <w:bCs w:val="1"/>
        </w:rPr>
        <w:t xml:space="preserve">• </w:t>
      </w:r>
      <w:r w:rsidRPr="4ED6478D" w:rsidR="47FE57BD">
        <w:rPr>
          <w:rFonts w:ascii="Avenir Black" w:hAnsi="Avenir Black" w:eastAsia="Avenir Black" w:cs="Avenir Black"/>
          <w:b w:val="1"/>
          <w:bCs w:val="1"/>
        </w:rPr>
        <w:t>Experience of working in a neurodevelopmental assessment service which considers autism and ADHD</w:t>
      </w:r>
    </w:p>
    <w:p w:rsidR="00C74F5B" w:rsidRDefault="00C74F5B" w14:paraId="00935482" w14:textId="77777777"/>
    <w:p w:rsidR="00C74F5B" w:rsidRDefault="00C74F5B" w14:paraId="2F1DAFC8" w14:textId="77777777">
      <w:pPr>
        <w:pStyle w:val="Body"/>
      </w:pPr>
    </w:p>
    <w:p w:rsidR="00C74F5B" w:rsidRDefault="00C74F5B" w14:paraId="20ED5A1C" w14:textId="77777777"/>
    <w:tbl>
      <w:tblPr>
        <w:tblW w:w="10173" w:type="dxa"/>
        <w:tblCellMar>
          <w:left w:w="10" w:type="dxa"/>
          <w:right w:w="10" w:type="dxa"/>
        </w:tblCellMar>
        <w:tblLook w:val="0000" w:firstRow="0" w:lastRow="0" w:firstColumn="0" w:lastColumn="0" w:noHBand="0" w:noVBand="0"/>
      </w:tblPr>
      <w:tblGrid>
        <w:gridCol w:w="10173"/>
      </w:tblGrid>
      <w:tr w:rsidR="00C74F5B" w14:paraId="30D35D5C" w14:textId="77777777">
        <w:trPr>
          <w:trHeight w:val="510"/>
        </w:trPr>
        <w:tc>
          <w:tcPr>
            <w:tcW w:w="10173" w:type="dxa"/>
            <w:tcBorders>
              <w:bottom w:val="single" w:color="B52059" w:sz="4" w:space="0"/>
            </w:tcBorders>
            <w:shd w:val="clear" w:color="auto" w:fill="auto"/>
            <w:tcMar>
              <w:top w:w="57" w:type="dxa"/>
              <w:left w:w="0" w:type="dxa"/>
              <w:bottom w:w="113" w:type="dxa"/>
              <w:right w:w="0" w:type="dxa"/>
            </w:tcMar>
          </w:tcPr>
          <w:p w:rsidR="00C74F5B" w:rsidRDefault="0085247C" w14:paraId="4CA6A9F8" w14:textId="77777777">
            <w:pPr>
              <w:pStyle w:val="Subheader"/>
            </w:pPr>
            <w:r>
              <w:t>Employee signature</w:t>
            </w:r>
          </w:p>
        </w:tc>
      </w:tr>
      <w:tr w:rsidR="00C74F5B" w14:paraId="281DEB5B" w14:textId="77777777">
        <w:trPr>
          <w:trHeight w:val="510"/>
        </w:trPr>
        <w:tc>
          <w:tcPr>
            <w:tcW w:w="10173" w:type="dxa"/>
            <w:tcBorders>
              <w:top w:val="single" w:color="B52059" w:sz="4" w:space="0"/>
              <w:bottom w:val="single" w:color="B52059" w:sz="4" w:space="0"/>
            </w:tcBorders>
            <w:shd w:val="clear" w:color="auto" w:fill="auto"/>
            <w:tcMar>
              <w:top w:w="113" w:type="dxa"/>
              <w:left w:w="0" w:type="dxa"/>
              <w:bottom w:w="113" w:type="dxa"/>
              <w:right w:w="0" w:type="dxa"/>
            </w:tcMar>
          </w:tcPr>
          <w:p w:rsidR="00C74F5B" w:rsidRDefault="0085247C" w14:paraId="37B14E84" w14:textId="77777777">
            <w:pPr>
              <w:pStyle w:val="Subheader"/>
            </w:pPr>
            <w:r>
              <w:t>Manager signature</w:t>
            </w:r>
          </w:p>
        </w:tc>
      </w:tr>
    </w:tbl>
    <w:p w:rsidR="00C74F5B" w:rsidRDefault="00C74F5B" w14:paraId="1EDACDE3" w14:textId="77777777"/>
    <w:sectPr w:rsidR="00C74F5B">
      <w:headerReference w:type="default" r:id="rId10"/>
      <w:footerReference w:type="default" r:id="rId11"/>
      <w:pgSz w:w="11906" w:h="16838" w:orient="portrait"/>
      <w:pgMar w:top="2555" w:right="720" w:bottom="720" w:left="720" w:header="708"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509F" w:rsidRDefault="0017509F" w14:paraId="2117916F" w14:textId="77777777">
      <w:pPr>
        <w:spacing w:after="0" w:line="240" w:lineRule="auto"/>
      </w:pPr>
      <w:r>
        <w:separator/>
      </w:r>
    </w:p>
  </w:endnote>
  <w:endnote w:type="continuationSeparator" w:id="0">
    <w:p w:rsidR="0017509F" w:rsidRDefault="0017509F" w14:paraId="604CE0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Book">
    <w:altName w:val="Tw Cen MT"/>
    <w:panose1 w:val="020B0503020203020204"/>
    <w:charset w:val="00"/>
    <w:family w:val="swiss"/>
    <w:notTrueType/>
    <w:pitch w:val="variable"/>
    <w:sig w:usb0="80002027" w:usb1="80000000" w:usb2="00000008" w:usb3="00000000" w:csb0="00000041" w:csb1="00000000"/>
  </w:font>
  <w:font w:name="Avenir Black">
    <w:altName w:val="Calibri"/>
    <w:panose1 w:val="020B08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panose1 w:val="020B0603020203020204"/>
    <w:charset w:val="00"/>
    <w:family w:val="swiss"/>
    <w:notTrueType/>
    <w:pitch w:val="variable"/>
    <w:sig w:usb0="8000202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64752" w:rsidRDefault="0085247C" w14:paraId="39C335A2" w14:textId="77777777">
    <w:pPr>
      <w:spacing w:after="0"/>
      <w:jc w:val="center"/>
    </w:pPr>
    <w:r>
      <w:rPr>
        <w:noProof/>
      </w:rPr>
      <w:drawing>
        <wp:anchor distT="0" distB="0" distL="114300" distR="114300" simplePos="0" relativeHeight="251661312" behindDoc="0" locked="0" layoutInCell="1" allowOverlap="1" wp14:anchorId="779519BF" wp14:editId="2E09B6EA">
          <wp:simplePos x="0" y="0"/>
          <wp:positionH relativeFrom="margin">
            <wp:posOffset>1893566</wp:posOffset>
          </wp:positionH>
          <wp:positionV relativeFrom="paragraph">
            <wp:posOffset>114839</wp:posOffset>
          </wp:positionV>
          <wp:extent cx="2589525" cy="447671"/>
          <wp:effectExtent l="0" t="0" r="0" b="0"/>
          <wp:wrapTopAndBottom/>
          <wp:docPr id="2"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20645" b="20645"/>
                  <a:stretch>
                    <a:fillRect/>
                  </a:stretch>
                </pic:blipFill>
                <pic:spPr>
                  <a:xfrm>
                    <a:off x="0" y="0"/>
                    <a:ext cx="2589525" cy="447671"/>
                  </a:xfrm>
                  <a:prstGeom prst="rect">
                    <a:avLst/>
                  </a:prstGeom>
                  <a:noFill/>
                  <a:ln>
                    <a:noFill/>
                    <a:prstDash/>
                  </a:ln>
                </pic:spPr>
              </pic:pic>
            </a:graphicData>
          </a:graphic>
        </wp:anchor>
      </w:drawing>
    </w:r>
  </w:p>
  <w:p w:rsidR="00764752" w:rsidRDefault="00764752" w14:paraId="10ED51A9" w14:textId="77777777">
    <w:pPr>
      <w:spacing w:after="0"/>
      <w:jc w:val="center"/>
      <w:rPr>
        <w:rFonts w:ascii="Arial" w:hAnsi="Arial" w:cs="Arial"/>
        <w:sz w:val="14"/>
        <w:szCs w:val="14"/>
      </w:rPr>
    </w:pPr>
  </w:p>
  <w:p w:rsidR="00764752" w:rsidRDefault="0085247C" w14:paraId="7B6270A5" w14:textId="77777777">
    <w:pPr>
      <w:spacing w:after="0"/>
      <w:jc w:val="center"/>
      <w:rPr>
        <w:rFonts w:ascii="Arial" w:hAnsi="Arial" w:cs="Arial"/>
        <w:sz w:val="14"/>
        <w:szCs w:val="14"/>
      </w:rPr>
    </w:pPr>
    <w:r>
      <w:rPr>
        <w:rFonts w:ascii="Arial" w:hAnsi="Arial" w:cs="Arial"/>
        <w:sz w:val="14"/>
        <w:szCs w:val="14"/>
      </w:rPr>
      <w:t>HCRG Care Ltd, company number 5466033 registered in England and Wales at The Heath Business and Technical Park, Runcorn, Cheshire WA7 4QX</w:t>
    </w:r>
    <w:bookmarkStart w:name="_Hlk89170336" w:id="0"/>
    <w:bookmarkEnd w:id="0"/>
  </w:p>
  <w:p w:rsidR="00764752" w:rsidRDefault="00764752" w14:paraId="0A886940" w14:textId="77777777">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509F" w:rsidRDefault="0017509F" w14:paraId="4B195069" w14:textId="77777777">
      <w:pPr>
        <w:spacing w:after="0" w:line="240" w:lineRule="auto"/>
      </w:pPr>
      <w:r>
        <w:separator/>
      </w:r>
    </w:p>
  </w:footnote>
  <w:footnote w:type="continuationSeparator" w:id="0">
    <w:p w:rsidR="0017509F" w:rsidRDefault="0017509F" w14:paraId="0A12A12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64752" w:rsidRDefault="0085247C" w14:paraId="155FE715" w14:textId="77777777">
    <w:pPr>
      <w:spacing w:before="480"/>
      <w:jc w:val="right"/>
    </w:pPr>
    <w:r>
      <w:rPr>
        <w:rFonts w:ascii="Avenir Black" w:hAnsi="Avenir Black"/>
        <w:b/>
        <w:bCs/>
        <w:noProof/>
        <w:color w:val="B52059"/>
        <w:sz w:val="56"/>
        <w:szCs w:val="56"/>
      </w:rPr>
      <w:drawing>
        <wp:anchor distT="0" distB="0" distL="114300" distR="114300" simplePos="0" relativeHeight="251659264" behindDoc="1" locked="0" layoutInCell="1" allowOverlap="1" wp14:anchorId="1CF5DDC8" wp14:editId="1F4A11AF">
          <wp:simplePos x="0" y="0"/>
          <wp:positionH relativeFrom="column">
            <wp:posOffset>-119173</wp:posOffset>
          </wp:positionH>
          <wp:positionV relativeFrom="paragraph">
            <wp:posOffset>-236216</wp:posOffset>
          </wp:positionV>
          <wp:extent cx="1638001" cy="1033198"/>
          <wp:effectExtent l="0" t="0" r="0" b="0"/>
          <wp:wrapNone/>
          <wp:docPr id="1" name="Picture 2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5002" t="8293" r="17037" b="11234"/>
                  <a:stretch>
                    <a:fillRect/>
                  </a:stretch>
                </pic:blipFill>
                <pic:spPr>
                  <a:xfrm>
                    <a:off x="0" y="0"/>
                    <a:ext cx="1638001" cy="1033198"/>
                  </a:xfrm>
                  <a:prstGeom prst="rect">
                    <a:avLst/>
                  </a:prstGeom>
                  <a:noFill/>
                  <a:ln>
                    <a:noFill/>
                    <a:prstDash/>
                  </a:ln>
                </pic:spPr>
              </pic:pic>
            </a:graphicData>
          </a:graphic>
        </wp:anchor>
      </w:drawing>
    </w:r>
    <w:r>
      <w:rPr>
        <w:rFonts w:ascii="Avenir Black" w:hAnsi="Avenir Black"/>
        <w:b/>
        <w:bCs/>
        <w:color w:val="B52059"/>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6">
    <w:nsid w:val="690e37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679b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32ac1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85bf0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f8cc5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0F40132"/>
    <w:multiLevelType w:val="hybridMultilevel"/>
    <w:tmpl w:val="87789B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9A3E0C"/>
    <w:multiLevelType w:val="multilevel"/>
    <w:tmpl w:val="0E08897A"/>
    <w:styleLink w:val="LFO1"/>
    <w:lvl w:ilvl="0">
      <w:numFmt w:val="bullet"/>
      <w:pStyle w:val="Bulletpoints"/>
      <w:lvlText w:val=""/>
      <w:lvlJc w:val="left"/>
      <w:pPr>
        <w:ind w:left="567" w:hanging="283"/>
      </w:pPr>
      <w:rPr>
        <w:rFonts w:ascii="Symbol" w:hAnsi="Symbol"/>
        <w:color w:val="B52059"/>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7">
    <w:abstractNumId w:val="6"/>
  </w:num>
  <w:num w:numId="6">
    <w:abstractNumId w:val="5"/>
  </w:num>
  <w:num w:numId="5">
    <w:abstractNumId w:val="4"/>
  </w:num>
  <w:num w:numId="4">
    <w:abstractNumId w:val="3"/>
  </w:num>
  <w:num w:numId="3">
    <w:abstractNumId w:val="2"/>
  </w:num>
  <w:num w:numId="1" w16cid:durableId="1403673684">
    <w:abstractNumId w:val="1"/>
  </w:num>
  <w:num w:numId="2" w16cid:durableId="1583874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09F"/>
    <w:rsid w:val="0017509F"/>
    <w:rsid w:val="00437FDA"/>
    <w:rsid w:val="00712ED3"/>
    <w:rsid w:val="00764752"/>
    <w:rsid w:val="0085247C"/>
    <w:rsid w:val="00C37204"/>
    <w:rsid w:val="00C74F5B"/>
    <w:rsid w:val="00EC6D8C"/>
    <w:rsid w:val="0ECC3D47"/>
    <w:rsid w:val="0FC24827"/>
    <w:rsid w:val="11964720"/>
    <w:rsid w:val="18168367"/>
    <w:rsid w:val="1898AE3A"/>
    <w:rsid w:val="1B5F2748"/>
    <w:rsid w:val="2495C257"/>
    <w:rsid w:val="28A741CE"/>
    <w:rsid w:val="31F31768"/>
    <w:rsid w:val="3295FFAF"/>
    <w:rsid w:val="35F9EB64"/>
    <w:rsid w:val="3C03FF7E"/>
    <w:rsid w:val="47924CAE"/>
    <w:rsid w:val="47FE57BD"/>
    <w:rsid w:val="49C71D0D"/>
    <w:rsid w:val="4ED6478D"/>
    <w:rsid w:val="5201CEE0"/>
    <w:rsid w:val="5543AD2F"/>
    <w:rsid w:val="5F4EBD12"/>
    <w:rsid w:val="627560D8"/>
    <w:rsid w:val="693BF8D4"/>
    <w:rsid w:val="6A998D05"/>
    <w:rsid w:val="6DE3C480"/>
    <w:rsid w:val="7A0A00C2"/>
    <w:rsid w:val="7CBD8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C64C9"/>
  <w15:docId w15:val="{62D7CDF1-7625-4DCB-B817-C148729D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160" w:line="256" w:lineRule="auto"/>
    </w:pPr>
    <w:rPr>
      <w:rFonts w:ascii="Avenir Book" w:hAnsi="Avenir Book"/>
      <w:color w:val="3C3C3B"/>
      <w:sz w:val="24"/>
      <w:szCs w:val="22"/>
      <w:lang w:eastAsia="en-US"/>
    </w:rPr>
  </w:style>
  <w:style w:type="paragraph" w:styleId="Heading1">
    <w:name w:val="heading 1"/>
    <w:basedOn w:val="Normal"/>
    <w:next w:val="Normal"/>
    <w:uiPriority w:val="9"/>
    <w:qFormat/>
    <w:pPr>
      <w:keepNext/>
      <w:keepLines/>
      <w:spacing w:before="240" w:after="0"/>
      <w:outlineLvl w:val="0"/>
    </w:pPr>
    <w:rPr>
      <w:rFonts w:ascii="Avenir Black" w:hAnsi="Avenir Black" w:eastAsia="Times New Roman"/>
      <w:color w:val="B52159"/>
      <w:sz w:val="32"/>
      <w:szCs w:val="32"/>
    </w:rPr>
  </w:style>
  <w:style w:type="paragraph" w:styleId="Heading2">
    <w:name w:val="heading 2"/>
    <w:basedOn w:val="Normal"/>
    <w:next w:val="Normal"/>
    <w:uiPriority w:val="9"/>
    <w:unhideWhenUsed/>
    <w:qFormat/>
    <w:pPr>
      <w:keepNext/>
      <w:keepLines/>
      <w:spacing w:before="160" w:after="120"/>
      <w:outlineLvl w:val="1"/>
    </w:pPr>
    <w:rPr>
      <w:rFonts w:ascii="Avenir Black" w:hAnsi="Avenir Black" w:eastAsia="Times New Roman"/>
      <w:color w:val="B52159"/>
      <w:sz w:val="28"/>
      <w:szCs w:val="26"/>
    </w:rPr>
  </w:style>
  <w:style w:type="paragraph" w:styleId="Heading3">
    <w:name w:val="heading 3"/>
    <w:basedOn w:val="Normal"/>
    <w:next w:val="Normal"/>
    <w:uiPriority w:val="9"/>
    <w:semiHidden/>
    <w:unhideWhenUsed/>
    <w:qFormat/>
    <w:pPr>
      <w:keepNext/>
      <w:keepLines/>
      <w:spacing w:before="40" w:after="0"/>
      <w:outlineLvl w:val="2"/>
    </w:pPr>
    <w:rPr>
      <w:rFonts w:ascii="Avenir Black" w:hAnsi="Avenir Black" w:eastAsia="Times New Roman"/>
      <w:b/>
      <w:color w:val="B52159"/>
      <w:szCs w:val="24"/>
    </w:rPr>
  </w:style>
  <w:style w:type="paragraph" w:styleId="Heading4">
    <w:name w:val="heading 4"/>
    <w:basedOn w:val="Normal"/>
    <w:next w:val="Normal"/>
    <w:uiPriority w:val="9"/>
    <w:semiHidden/>
    <w:unhideWhenUsed/>
    <w:qFormat/>
    <w:pPr>
      <w:outlineLvl w:val="3"/>
    </w:pPr>
    <w:rPr>
      <w:color w:val="B52159"/>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eastAsia="Times New Roman"/>
      <w:color w:val="2F549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style>
  <w:style w:type="character" w:styleId="Heading1Char" w:customStyle="1">
    <w:name w:val="Heading 1 Char"/>
    <w:rPr>
      <w:rFonts w:ascii="Avenir Black" w:hAnsi="Avenir Black" w:eastAsia="Times New Roman"/>
      <w:color w:val="B52159"/>
      <w:sz w:val="32"/>
      <w:szCs w:val="32"/>
      <w:lang w:eastAsia="en-US"/>
    </w:rPr>
  </w:style>
  <w:style w:type="character" w:styleId="Heading2Char" w:customStyle="1">
    <w:name w:val="Heading 2 Char"/>
    <w:rPr>
      <w:rFonts w:ascii="Avenir Black" w:hAnsi="Avenir Black" w:eastAsia="Times New Roman"/>
      <w:color w:val="B52159"/>
      <w:sz w:val="28"/>
      <w:szCs w:val="26"/>
      <w:lang w:eastAsia="en-US"/>
    </w:rPr>
  </w:style>
  <w:style w:type="character" w:styleId="Heading3Char" w:customStyle="1">
    <w:name w:val="Heading 3 Char"/>
    <w:rPr>
      <w:rFonts w:ascii="Avenir Black" w:hAnsi="Avenir Black" w:eastAsia="Times New Roman" w:cs="Times New Roman"/>
      <w:b/>
      <w:color w:val="B52159"/>
      <w:sz w:val="24"/>
      <w:szCs w:val="24"/>
    </w:rPr>
  </w:style>
  <w:style w:type="character" w:styleId="Heading4Char" w:customStyle="1">
    <w:name w:val="Heading 4 Char"/>
    <w:rPr>
      <w:rFonts w:ascii="Avenir Book" w:hAnsi="Avenir Book"/>
      <w:color w:val="B52159"/>
      <w:sz w:val="24"/>
    </w:rPr>
  </w:style>
  <w:style w:type="character" w:styleId="Heading5Char" w:customStyle="1">
    <w:name w:val="Heading 5 Char"/>
    <w:rPr>
      <w:rFonts w:ascii="Calibri Light" w:hAnsi="Calibri Light" w:eastAsia="Times New Roman" w:cs="Times New Roman"/>
      <w:color w:val="2F5496"/>
      <w:sz w:val="24"/>
    </w:rPr>
  </w:style>
  <w:style w:type="paragraph" w:styleId="Bulletpoints" w:customStyle="1">
    <w:name w:val="Bullet points"/>
    <w:basedOn w:val="Body"/>
    <w:pPr>
      <w:numPr>
        <w:numId w:val="1"/>
      </w:numPr>
      <w:spacing w:after="120"/>
    </w:pPr>
    <w:rPr>
      <w:rFonts w:ascii="Avenir Book" w:hAnsi="Avenir Book"/>
      <w:sz w:val="24"/>
      <w:shd w:val="clear" w:color="auto" w:fill="FFFFFF"/>
    </w:rPr>
  </w:style>
  <w:style w:type="character" w:styleId="Hyperlink">
    <w:name w:val="Hyperlink"/>
    <w:rPr>
      <w:color w:val="0000FF"/>
      <w:u w:val="single"/>
    </w:rPr>
  </w:style>
  <w:style w:type="paragraph" w:styleId="Body" w:customStyle="1">
    <w:name w:val="Body"/>
    <w:basedOn w:val="Normal"/>
    <w:pPr>
      <w:spacing w:after="240" w:line="240" w:lineRule="auto"/>
    </w:pPr>
    <w:rPr>
      <w:rFonts w:ascii="Arial" w:hAnsi="Arial" w:eastAsia="Times New Roman" w:cs="Arial"/>
      <w:sz w:val="22"/>
    </w:rPr>
  </w:style>
  <w:style w:type="character" w:styleId="BodyChar" w:customStyle="1">
    <w:name w:val="Body Char"/>
    <w:basedOn w:val="DefaultParagraphFont"/>
    <w:rPr>
      <w:rFonts w:ascii="Arial" w:hAnsi="Arial" w:eastAsia="Times New Roman" w:cs="Arial"/>
      <w:color w:val="3C3C3B"/>
      <w:sz w:val="22"/>
      <w:szCs w:val="22"/>
      <w:lang w:eastAsia="en-US"/>
    </w:rPr>
  </w:style>
  <w:style w:type="paragraph" w:styleId="Boldred" w:customStyle="1">
    <w:name w:val="Bold red"/>
    <w:basedOn w:val="TOC1"/>
    <w:pPr>
      <w:tabs>
        <w:tab w:val="right" w:pos="9628"/>
      </w:tabs>
      <w:spacing w:before="120" w:after="240" w:line="240" w:lineRule="auto"/>
    </w:pPr>
    <w:rPr>
      <w:rFonts w:ascii="Calibri" w:hAnsi="Calibri" w:eastAsia="Times New Roman"/>
      <w:b/>
      <w:bCs/>
      <w:color w:val="B52059"/>
      <w:sz w:val="22"/>
      <w:szCs w:val="20"/>
    </w:rPr>
  </w:style>
  <w:style w:type="character" w:styleId="BoldredChar" w:customStyle="1">
    <w:name w:val="Bold red Char"/>
    <w:basedOn w:val="DefaultParagraphFont"/>
    <w:rPr>
      <w:rFonts w:ascii="Calibri" w:hAnsi="Calibri" w:eastAsia="Times New Roman"/>
      <w:b/>
      <w:bCs/>
      <w:color w:val="B52059"/>
      <w:sz w:val="22"/>
      <w:lang w:eastAsia="en-US"/>
    </w:rPr>
  </w:style>
  <w:style w:type="paragraph" w:styleId="BodyTextIndent">
    <w:name w:val="Body Text Indent"/>
    <w:basedOn w:val="Normal"/>
    <w:pPr>
      <w:spacing w:after="120" w:line="240" w:lineRule="auto"/>
      <w:ind w:left="283"/>
    </w:pPr>
    <w:rPr>
      <w:rFonts w:ascii="Calibri" w:hAnsi="Calibri" w:eastAsia="Times New Roman"/>
      <w:sz w:val="22"/>
      <w:szCs w:val="24"/>
    </w:rPr>
  </w:style>
  <w:style w:type="character" w:styleId="BodyTextIndentChar" w:customStyle="1">
    <w:name w:val="Body Text Indent Char"/>
    <w:basedOn w:val="DefaultParagraphFont"/>
    <w:rPr>
      <w:rFonts w:ascii="Calibri" w:hAnsi="Calibri" w:eastAsia="Times New Roman"/>
      <w:color w:val="3C3C3B"/>
      <w:sz w:val="22"/>
      <w:szCs w:val="24"/>
      <w:lang w:eastAsia="en-US"/>
    </w:rPr>
  </w:style>
  <w:style w:type="paragraph" w:styleId="TOC1">
    <w:name w:val="toc 1"/>
    <w:basedOn w:val="Normal"/>
    <w:next w:val="Normal"/>
    <w:autoRedefine/>
    <w:pPr>
      <w:spacing w:after="100"/>
    </w:pPr>
  </w:style>
  <w:style w:type="paragraph" w:styleId="Subheader" w:customStyle="1">
    <w:name w:val="Subheader"/>
    <w:basedOn w:val="Heading2"/>
    <w:rPr>
      <w:b/>
      <w:color w:val="3C3C3B"/>
      <w:sz w:val="24"/>
      <w:shd w:val="clear" w:color="auto" w:fill="FFFFFF"/>
      <w:lang w:eastAsia="en-GB"/>
    </w:rPr>
  </w:style>
  <w:style w:type="character" w:styleId="SubheaderChar" w:customStyle="1">
    <w:name w:val="Subheader Char"/>
    <w:basedOn w:val="Heading2Char"/>
    <w:rPr>
      <w:rFonts w:ascii="Avenir Black" w:hAnsi="Avenir Black" w:eastAsia="Times New Roman"/>
      <w:b/>
      <w:color w:val="3C3C3B"/>
      <w:sz w:val="24"/>
      <w:szCs w:val="26"/>
      <w:lang w:eastAsia="en-US"/>
    </w:rPr>
  </w:style>
  <w:style w:type="numbering" w:styleId="LFO1" w:customStyle="1">
    <w:name w:val="LFO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yperlink" Target="http://www.nhs.uk/choiceintheNHS/Rightsandpledges/NHSConstitution/Pages/Overview.aspx"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s://www.nhsx.nhs.uk/media/documents/NHSX_Records_Management_CoP_V7.pdf"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customXml" Target="../customXml/item2.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 Id="rId9" /><Relationship Type="http://schemas.openxmlformats.org/officeDocument/2006/relationships/customXml" Target="../customXml/item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Recruitment\Job%20Descriptions\JD%20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7B669DE548CD48AAFAC9942FBA0A8F" ma:contentTypeVersion="7" ma:contentTypeDescription="Create a new document." ma:contentTypeScope="" ma:versionID="7b7de69266456aa3475e3272c20f8f0c">
  <xsd:schema xmlns:xsd="http://www.w3.org/2001/XMLSchema" xmlns:xs="http://www.w3.org/2001/XMLSchema" xmlns:p="http://schemas.microsoft.com/office/2006/metadata/properties" xmlns:ns2="9edb00f2-77e6-4c85-942d-370d6129714d" xmlns:ns3="019a52d3-f864-4f96-8dc8-1d2ae8e45d7d" targetNamespace="http://schemas.microsoft.com/office/2006/metadata/properties" ma:root="true" ma:fieldsID="007823e2d0e1046e2dd7938218c7201d" ns2:_="" ns3:_="">
    <xsd:import namespace="9edb00f2-77e6-4c85-942d-370d6129714d"/>
    <xsd:import namespace="019a52d3-f864-4f96-8dc8-1d2ae8e45d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b00f2-77e6-4c85-942d-370d612971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4" nillable="true" ma:displayName="Notes" ma:description="See column x for &quot;actions/outcome&quot; following case review"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9a52d3-f864-4f96-8dc8-1d2ae8e45d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edb00f2-77e6-4c85-942d-370d6129714d" xsi:nil="true"/>
  </documentManagement>
</p:properties>
</file>

<file path=customXml/itemProps1.xml><?xml version="1.0" encoding="utf-8"?>
<ds:datastoreItem xmlns:ds="http://schemas.openxmlformats.org/officeDocument/2006/customXml" ds:itemID="{0BF1D694-1846-4B4A-98BC-E1618BE470DF}"/>
</file>

<file path=customXml/itemProps2.xml><?xml version="1.0" encoding="utf-8"?>
<ds:datastoreItem xmlns:ds="http://schemas.openxmlformats.org/officeDocument/2006/customXml" ds:itemID="{DCCB7709-B2B8-4D84-85C5-4BA31437EBAA}"/>
</file>

<file path=customXml/itemProps3.xml><?xml version="1.0" encoding="utf-8"?>
<ds:datastoreItem xmlns:ds="http://schemas.openxmlformats.org/officeDocument/2006/customXml" ds:itemID="{05CD8529-BD6D-4786-ACCB-B46C002144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JD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Robins (Wiltshire)</dc:creator>
  <dc:description/>
  <lastModifiedBy>Sarah Robins (Wiltshire)</lastModifiedBy>
  <revision>3</revision>
  <lastPrinted>2022-08-22T09:07:00.0000000Z</lastPrinted>
  <dcterms:created xsi:type="dcterms:W3CDTF">2024-06-11T12:39:00.0000000Z</dcterms:created>
  <dcterms:modified xsi:type="dcterms:W3CDTF">2026-08-26T16:58:36.0340676Z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0x0101003B7B669DE548CD48AAFAC9942FBA0A8F</vt:lpwstr>
  </property>
</Properties>
</file>