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194EFC5C" w:rsidR="00267D6E" w:rsidRPr="00267D6E" w:rsidRDefault="005B67C8" w:rsidP="006C13BF">
                <w:pPr>
                  <w:spacing w:before="160"/>
                </w:pPr>
                <w:r w:rsidRPr="005B67C8">
                  <w:rPr>
                    <w:rFonts w:asciiTheme="minorHAnsi" w:eastAsia="Arial" w:hAnsiTheme="minorHAnsi" w:cstheme="minorHAnsi"/>
                    <w:b/>
                    <w:spacing w:val="-1"/>
                    <w:sz w:val="28"/>
                    <w:szCs w:val="28"/>
                  </w:rPr>
                  <w:t xml:space="preserve">Speech and Language Therapy - </w:t>
                </w:r>
                <w:proofErr w:type="gramStart"/>
                <w:r w:rsidRPr="005B67C8">
                  <w:rPr>
                    <w:rFonts w:asciiTheme="minorHAnsi" w:eastAsia="Arial" w:hAnsiTheme="minorHAnsi" w:cstheme="minorHAnsi"/>
                    <w:b/>
                    <w:spacing w:val="-1"/>
                    <w:sz w:val="28"/>
                    <w:szCs w:val="28"/>
                  </w:rPr>
                  <w:t>Administrator</w:t>
                </w:r>
                <w:r w:rsidRPr="005B67C8">
                  <w:rPr>
                    <w:rFonts w:asciiTheme="minorHAnsi" w:eastAsia="Arial" w:hAnsiTheme="minorHAnsi" w:cstheme="minorHAnsi"/>
                    <w:bCs/>
                    <w:spacing w:val="-1"/>
                    <w:sz w:val="22"/>
                  </w:rPr>
                  <w:t xml:space="preserve"> </w:t>
                </w:r>
                <w:r>
                  <w:rPr>
                    <w:rFonts w:asciiTheme="minorHAnsi" w:eastAsia="Arial" w:hAnsiTheme="minorHAnsi" w:cstheme="minorHAnsi"/>
                    <w:bCs/>
                    <w:spacing w:val="-1"/>
                    <w:sz w:val="22"/>
                  </w:rPr>
                  <w:t xml:space="preserve"> </w:t>
                </w:r>
                <w:r w:rsidRPr="005B67C8">
                  <w:rPr>
                    <w:rFonts w:asciiTheme="minorHAnsi" w:eastAsia="Arial" w:hAnsiTheme="minorHAnsi" w:cstheme="minorHAnsi"/>
                    <w:b/>
                    <w:spacing w:val="-1"/>
                    <w:sz w:val="28"/>
                    <w:szCs w:val="28"/>
                  </w:rPr>
                  <w:t>-</w:t>
                </w:r>
                <w:proofErr w:type="gramEnd"/>
                <w:r w:rsidRPr="005B67C8">
                  <w:rPr>
                    <w:rFonts w:asciiTheme="minorHAnsi" w:eastAsia="Arial" w:hAnsiTheme="minorHAnsi" w:cstheme="minorHAnsi"/>
                    <w:b/>
                    <w:spacing w:val="-1"/>
                    <w:sz w:val="28"/>
                    <w:szCs w:val="28"/>
                  </w:rPr>
                  <w:t xml:space="preserve"> Grade 3</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403436A0" w:rsidR="00267D6E" w:rsidRPr="005B67C8" w:rsidRDefault="005B67C8" w:rsidP="006C13BF">
            <w:pPr>
              <w:spacing w:before="160"/>
              <w:rPr>
                <w:sz w:val="28"/>
                <w:szCs w:val="28"/>
              </w:rPr>
            </w:pPr>
            <w:r w:rsidRPr="005B67C8">
              <w:rPr>
                <w:sz w:val="28"/>
                <w:szCs w:val="28"/>
              </w:rPr>
              <w:t>Head of Speech and Language Therapy for Community Adults</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1A391732" w14:textId="77777777" w:rsidR="005B67C8" w:rsidRPr="005B67C8" w:rsidRDefault="005B67C8" w:rsidP="005B67C8">
      <w:pPr>
        <w:pStyle w:val="Subheader"/>
        <w:rPr>
          <w:rFonts w:ascii="Avenir Book" w:eastAsia="Calibri" w:hAnsi="Avenir Book"/>
          <w:b w:val="0"/>
          <w:szCs w:val="22"/>
        </w:rPr>
      </w:pPr>
      <w:r w:rsidRPr="005B67C8">
        <w:rPr>
          <w:rFonts w:ascii="Avenir Book" w:eastAsia="Calibri" w:hAnsi="Avenir Book"/>
          <w:b w:val="0"/>
          <w:szCs w:val="22"/>
        </w:rPr>
        <w:t xml:space="preserve">The postholder will carry out high quality and accurate administrative, data inputting and secretarial support to assist patient care, clinical governance and the clinical processes of the community adult speech and language therapy (SLT) team. </w:t>
      </w:r>
    </w:p>
    <w:p w14:paraId="7C33216E" w14:textId="77777777" w:rsidR="005B67C8" w:rsidRDefault="005B67C8" w:rsidP="005B67C8">
      <w:pPr>
        <w:pStyle w:val="Subheader"/>
        <w:rPr>
          <w:rFonts w:ascii="Avenir Book" w:eastAsia="Calibri" w:hAnsi="Avenir Book"/>
          <w:b w:val="0"/>
          <w:szCs w:val="22"/>
        </w:rPr>
      </w:pPr>
      <w:r w:rsidRPr="005B67C8">
        <w:rPr>
          <w:rFonts w:ascii="Avenir Book" w:eastAsia="Calibri" w:hAnsi="Avenir Book"/>
          <w:b w:val="0"/>
          <w:szCs w:val="22"/>
        </w:rPr>
        <w:t>The postholder will support the SLTs to deliver an AAC (Alternative and Augmentative Communication) service.</w:t>
      </w:r>
    </w:p>
    <w:p w14:paraId="0A644594" w14:textId="55F6E81A" w:rsidR="00724F54" w:rsidRDefault="00724F54" w:rsidP="005B67C8">
      <w:pPr>
        <w:pStyle w:val="Subheader"/>
      </w:pPr>
      <w:r>
        <w:t>Base</w:t>
      </w:r>
    </w:p>
    <w:p w14:paraId="6AAD669D" w14:textId="77777777" w:rsidR="005B67C8" w:rsidRDefault="005B67C8" w:rsidP="00A302D7">
      <w:pPr>
        <w:pStyle w:val="Subheader"/>
        <w:rPr>
          <w:rFonts w:ascii="Avenir Book" w:eastAsia="Calibri" w:hAnsi="Avenir Book"/>
          <w:b w:val="0"/>
          <w:szCs w:val="22"/>
        </w:rPr>
      </w:pPr>
      <w:r w:rsidRPr="005B67C8">
        <w:rPr>
          <w:rFonts w:ascii="Avenir Book" w:eastAsia="Calibri" w:hAnsi="Avenir Book"/>
          <w:b w:val="0"/>
          <w:szCs w:val="22"/>
        </w:rPr>
        <w:t xml:space="preserve">Speech and Language Therapy department, Swindon Intermediate Care </w:t>
      </w:r>
      <w:proofErr w:type="gramStart"/>
      <w:r w:rsidRPr="005B67C8">
        <w:rPr>
          <w:rFonts w:ascii="Avenir Book" w:eastAsia="Calibri" w:hAnsi="Avenir Book"/>
          <w:b w:val="0"/>
          <w:szCs w:val="22"/>
        </w:rPr>
        <w:t>Centre .</w:t>
      </w:r>
      <w:proofErr w:type="gramEnd"/>
    </w:p>
    <w:p w14:paraId="4D859532" w14:textId="709DA41A" w:rsidR="00CC5AC8" w:rsidRDefault="00CC5AC8" w:rsidP="00A302D7">
      <w:pPr>
        <w:pStyle w:val="Subheader"/>
      </w:pPr>
      <w:r>
        <w:t>This post is responsible for</w:t>
      </w:r>
    </w:p>
    <w:p w14:paraId="017BD37E" w14:textId="77777777" w:rsidR="005A297A" w:rsidRDefault="00E7347B" w:rsidP="005A297A">
      <w:pPr>
        <w:pStyle w:val="Heading2"/>
      </w:pPr>
      <w:r>
        <w:t>Key responsibilities</w:t>
      </w:r>
    </w:p>
    <w:p w14:paraId="1E3CC023"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To liaise with referring agents, medical and nursing staff, multi-disciplinary team members, relatives/carers and relevant others to ensure effective continuity of care, establishing a high level of professional relationship engendering confidence in the SLT service.</w:t>
      </w:r>
    </w:p>
    <w:p w14:paraId="1BA3BFFB"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 xml:space="preserve">To share information with appropriate others, observing information governance principles and guidelines. </w:t>
      </w:r>
    </w:p>
    <w:p w14:paraId="7408BBAC"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 xml:space="preserve">To liaise with other departments within the </w:t>
      </w:r>
      <w:proofErr w:type="spellStart"/>
      <w:r w:rsidRPr="005B67C8">
        <w:rPr>
          <w:rFonts w:ascii="Arial" w:eastAsia="Times New Roman" w:hAnsi="Arial" w:cs="Arial"/>
          <w:color w:val="000000"/>
          <w:sz w:val="22"/>
          <w:lang w:val="en-US"/>
        </w:rPr>
        <w:t>organisation</w:t>
      </w:r>
      <w:proofErr w:type="spellEnd"/>
      <w:r w:rsidRPr="005B67C8">
        <w:rPr>
          <w:rFonts w:ascii="Arial" w:eastAsia="Times New Roman" w:hAnsi="Arial" w:cs="Arial"/>
          <w:color w:val="000000"/>
          <w:sz w:val="22"/>
          <w:lang w:val="en-US"/>
        </w:rPr>
        <w:t xml:space="preserve"> including Finance and Education &amp; Training.</w:t>
      </w:r>
    </w:p>
    <w:p w14:paraId="0E14BE3B"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To promote efficiency with the adult SLT service by communicating appropriately with team members coordinating timetables, appointments and meetings.</w:t>
      </w:r>
    </w:p>
    <w:p w14:paraId="4CD2A3F1"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To demonstrate skills in communicating with those with speech and/or language difficulties.</w:t>
      </w:r>
    </w:p>
    <w:p w14:paraId="47E82B78"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To participate in team meetings on a regular basis.</w:t>
      </w:r>
    </w:p>
    <w:p w14:paraId="30D8690C"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 xml:space="preserve">To answer and deal sensitively with telephone/face to face enquiries in an appropriate manner from the </w:t>
      </w:r>
      <w:proofErr w:type="gramStart"/>
      <w:r w:rsidRPr="005B67C8">
        <w:rPr>
          <w:rFonts w:ascii="Arial" w:eastAsia="Times New Roman" w:hAnsi="Arial" w:cs="Arial"/>
          <w:color w:val="000000"/>
          <w:sz w:val="22"/>
          <w:lang w:val="en-US"/>
        </w:rPr>
        <w:t>general public</w:t>
      </w:r>
      <w:proofErr w:type="gramEnd"/>
      <w:r w:rsidRPr="005B67C8">
        <w:rPr>
          <w:rFonts w:ascii="Arial" w:eastAsia="Times New Roman" w:hAnsi="Arial" w:cs="Arial"/>
          <w:color w:val="000000"/>
          <w:sz w:val="22"/>
          <w:lang w:val="en-US"/>
        </w:rPr>
        <w:t>, patients (some of whom may have poor communication/speech ability), outside agencies and other professional staff, taking appropriate action on own initiative.</w:t>
      </w:r>
    </w:p>
    <w:p w14:paraId="7942ABA7"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 xml:space="preserve">To be responsible for clerical administration related to referrals to the service and ongoing caseload according to the departmental and </w:t>
      </w:r>
      <w:proofErr w:type="spellStart"/>
      <w:r w:rsidRPr="005B67C8">
        <w:rPr>
          <w:rFonts w:ascii="Arial" w:eastAsia="Times New Roman" w:hAnsi="Arial" w:cs="Arial"/>
          <w:color w:val="000000"/>
          <w:sz w:val="22"/>
          <w:lang w:val="en-US"/>
        </w:rPr>
        <w:t>organisational</w:t>
      </w:r>
      <w:proofErr w:type="spellEnd"/>
      <w:r w:rsidRPr="005B67C8">
        <w:rPr>
          <w:rFonts w:ascii="Arial" w:eastAsia="Times New Roman" w:hAnsi="Arial" w:cs="Arial"/>
          <w:color w:val="000000"/>
          <w:sz w:val="22"/>
          <w:lang w:val="en-US"/>
        </w:rPr>
        <w:t xml:space="preserve"> policies, conforming to the regulations concerning information governance, data protection and health and safety.</w:t>
      </w:r>
    </w:p>
    <w:p w14:paraId="0DC00BA6"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 xml:space="preserve">To monitor stock of equipment and resources and to make requests for new items when </w:t>
      </w:r>
      <w:proofErr w:type="gramStart"/>
      <w:r w:rsidRPr="005B67C8">
        <w:rPr>
          <w:rFonts w:ascii="Arial" w:eastAsia="Times New Roman" w:hAnsi="Arial" w:cs="Arial"/>
          <w:color w:val="000000"/>
          <w:sz w:val="22"/>
          <w:lang w:val="en-US"/>
        </w:rPr>
        <w:t>necessary</w:t>
      </w:r>
      <w:proofErr w:type="gramEnd"/>
      <w:r w:rsidRPr="005B67C8">
        <w:rPr>
          <w:rFonts w:ascii="Arial" w:eastAsia="Times New Roman" w:hAnsi="Arial" w:cs="Arial"/>
          <w:color w:val="000000"/>
          <w:sz w:val="22"/>
          <w:lang w:val="en-US"/>
        </w:rPr>
        <w:t xml:space="preserve"> in consultation with line managers.</w:t>
      </w:r>
    </w:p>
    <w:p w14:paraId="1B8B9B06"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To follow relevant departmental guidelines in communicating concerns to SLTs and in incident reporting.</w:t>
      </w:r>
    </w:p>
    <w:p w14:paraId="55C7061A"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lastRenderedPageBreak/>
        <w:t>To develop skills in identifying individual training and development needs through thorough supervision and appraisal, and to attend mandatory training as required.</w:t>
      </w:r>
    </w:p>
    <w:p w14:paraId="4F41F3E1"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 xml:space="preserve">To inform line manager and other relevant managers of complaints by service users and others according to the Trust’s complaints procedures and to inform line manager and other relevant managers of adverse incidents and to adhere to the relevant incident reporting structure. </w:t>
      </w:r>
    </w:p>
    <w:p w14:paraId="3035CFD0"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 xml:space="preserve">To deal with routine matters on own initiative as appropriate and </w:t>
      </w:r>
      <w:proofErr w:type="spellStart"/>
      <w:r w:rsidRPr="005B67C8">
        <w:rPr>
          <w:rFonts w:ascii="Arial" w:eastAsia="Times New Roman" w:hAnsi="Arial" w:cs="Arial"/>
          <w:color w:val="000000"/>
          <w:sz w:val="22"/>
          <w:lang w:val="en-US"/>
        </w:rPr>
        <w:t>prioritise</w:t>
      </w:r>
      <w:proofErr w:type="spellEnd"/>
      <w:r w:rsidRPr="005B67C8">
        <w:rPr>
          <w:rFonts w:ascii="Arial" w:eastAsia="Times New Roman" w:hAnsi="Arial" w:cs="Arial"/>
          <w:color w:val="000000"/>
          <w:sz w:val="22"/>
          <w:lang w:val="en-US"/>
        </w:rPr>
        <w:t xml:space="preserve"> work as necessary.</w:t>
      </w:r>
    </w:p>
    <w:p w14:paraId="1B722692"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To contribute to the design and development of administrative systems/processes with the Department</w:t>
      </w:r>
    </w:p>
    <w:p w14:paraId="053E77E0"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color w:val="000000"/>
          <w:sz w:val="22"/>
          <w:lang w:val="en-US"/>
        </w:rPr>
        <w:t>To provide secretarial support for Speech &amp; Language Therapy Manager as required.</w:t>
      </w:r>
    </w:p>
    <w:p w14:paraId="48896EC4"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To carry out administrative duties in support of the SLTs’ work which would include responding to telephone, email and written queries on behalf of the SLT service, including taking referral details over the phone.</w:t>
      </w:r>
    </w:p>
    <w:p w14:paraId="5B6B3D5A"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be responsible for the ordering and returning of AAC equipment from SCES (Swindon Community Equipment Stores), obtaining quotes for new purchases and liaising with suppliers. </w:t>
      </w:r>
    </w:p>
    <w:p w14:paraId="3C1D91F8"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prepare and </w:t>
      </w:r>
      <w:proofErr w:type="spellStart"/>
      <w:r w:rsidRPr="005B67C8">
        <w:rPr>
          <w:rFonts w:ascii="Arial" w:eastAsia="Times New Roman" w:hAnsi="Arial" w:cs="Arial"/>
          <w:bCs/>
          <w:color w:val="000000"/>
          <w:sz w:val="22"/>
          <w:lang w:val="en-US"/>
        </w:rPr>
        <w:t>programme</w:t>
      </w:r>
      <w:proofErr w:type="spellEnd"/>
      <w:r w:rsidRPr="005B67C8">
        <w:rPr>
          <w:rFonts w:ascii="Arial" w:eastAsia="Times New Roman" w:hAnsi="Arial" w:cs="Arial"/>
          <w:bCs/>
          <w:color w:val="000000"/>
          <w:sz w:val="22"/>
          <w:lang w:val="en-US"/>
        </w:rPr>
        <w:t xml:space="preserve"> AAC equipment as requested by the SLT, including </w:t>
      </w:r>
      <w:proofErr w:type="spellStart"/>
      <w:r w:rsidRPr="005B67C8">
        <w:rPr>
          <w:rFonts w:ascii="Arial" w:eastAsia="Times New Roman" w:hAnsi="Arial" w:cs="Arial"/>
          <w:bCs/>
          <w:color w:val="000000"/>
          <w:sz w:val="22"/>
          <w:lang w:val="en-US"/>
        </w:rPr>
        <w:t>specialised</w:t>
      </w:r>
      <w:proofErr w:type="spellEnd"/>
      <w:r w:rsidRPr="005B67C8">
        <w:rPr>
          <w:rFonts w:ascii="Arial" w:eastAsia="Times New Roman" w:hAnsi="Arial" w:cs="Arial"/>
          <w:bCs/>
          <w:color w:val="000000"/>
          <w:sz w:val="22"/>
          <w:lang w:val="en-US"/>
        </w:rPr>
        <w:t xml:space="preserve"> communication aids, laptops and tablet computers with specialist communication software and apps.</w:t>
      </w:r>
    </w:p>
    <w:p w14:paraId="55759CA0"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To deal with queries from service users relating to their AAC equipment, and to troubleshoot any basic problems, liaising with SCES and other equipment suppliers where necessary.</w:t>
      </w:r>
    </w:p>
    <w:p w14:paraId="1C06958C"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monitor equipment and resources needed within the clinical area including charging or electrical equipment such as iPads and to suggest requests for new items when </w:t>
      </w:r>
      <w:proofErr w:type="gramStart"/>
      <w:r w:rsidRPr="005B67C8">
        <w:rPr>
          <w:rFonts w:ascii="Arial" w:eastAsia="Times New Roman" w:hAnsi="Arial" w:cs="Arial"/>
          <w:bCs/>
          <w:color w:val="000000"/>
          <w:sz w:val="22"/>
          <w:lang w:val="en-US"/>
        </w:rPr>
        <w:t>necessary</w:t>
      </w:r>
      <w:proofErr w:type="gramEnd"/>
      <w:r w:rsidRPr="005B67C8">
        <w:rPr>
          <w:rFonts w:ascii="Arial" w:eastAsia="Times New Roman" w:hAnsi="Arial" w:cs="Arial"/>
          <w:bCs/>
          <w:color w:val="000000"/>
          <w:sz w:val="22"/>
          <w:lang w:val="en-US"/>
        </w:rPr>
        <w:t xml:space="preserve"> through line managers. To adhere with </w:t>
      </w:r>
      <w:proofErr w:type="spellStart"/>
      <w:r w:rsidRPr="005B67C8">
        <w:rPr>
          <w:rFonts w:ascii="Arial" w:eastAsia="Times New Roman" w:hAnsi="Arial" w:cs="Arial"/>
          <w:bCs/>
          <w:color w:val="000000"/>
          <w:sz w:val="22"/>
          <w:lang w:val="en-US"/>
        </w:rPr>
        <w:t>organisational</w:t>
      </w:r>
      <w:proofErr w:type="spellEnd"/>
      <w:r w:rsidRPr="005B67C8">
        <w:rPr>
          <w:rFonts w:ascii="Arial" w:eastAsia="Times New Roman" w:hAnsi="Arial" w:cs="Arial"/>
          <w:bCs/>
          <w:color w:val="000000"/>
          <w:sz w:val="22"/>
          <w:lang w:val="en-US"/>
        </w:rPr>
        <w:t xml:space="preserve"> policy and departmental procedure regarding infection control, keeping equipment clean as required.</w:t>
      </w:r>
    </w:p>
    <w:p w14:paraId="43A3D328"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carry out photocopying, filing, typing, </w:t>
      </w:r>
      <w:proofErr w:type="spellStart"/>
      <w:r w:rsidRPr="005B67C8">
        <w:rPr>
          <w:rFonts w:ascii="Arial" w:eastAsia="Times New Roman" w:hAnsi="Arial" w:cs="Arial"/>
          <w:bCs/>
          <w:color w:val="000000"/>
          <w:sz w:val="22"/>
          <w:lang w:val="en-US"/>
        </w:rPr>
        <w:t>organising</w:t>
      </w:r>
      <w:proofErr w:type="spellEnd"/>
      <w:r w:rsidRPr="005B67C8">
        <w:rPr>
          <w:rFonts w:ascii="Arial" w:eastAsia="Times New Roman" w:hAnsi="Arial" w:cs="Arial"/>
          <w:bCs/>
          <w:color w:val="000000"/>
          <w:sz w:val="22"/>
          <w:lang w:val="en-US"/>
        </w:rPr>
        <w:t xml:space="preserve"> paperwork, making up patient files, and other general administrative duties for SLTs.</w:t>
      </w:r>
    </w:p>
    <w:p w14:paraId="7EE88151"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auto"/>
          <w:sz w:val="22"/>
          <w:lang w:val="en-US"/>
        </w:rPr>
        <w:t>To prepare materials and equipment for use with patients to aid their communication.</w:t>
      </w:r>
    </w:p>
    <w:p w14:paraId="38B5EDD2"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Arrange meetings, events and training sessions on behalf of the SLT service, where necessary making bookings and ensuring all necessary equipment is available.</w:t>
      </w:r>
    </w:p>
    <w:p w14:paraId="3671729F"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Maintain accurate timely electronic and hard copy systems and records for the SLT service. </w:t>
      </w:r>
    </w:p>
    <w:p w14:paraId="394715BA"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Be compliant with the data protection and record management policy and procedures with </w:t>
      </w:r>
      <w:proofErr w:type="gramStart"/>
      <w:r w:rsidRPr="005B67C8">
        <w:rPr>
          <w:rFonts w:ascii="Arial" w:eastAsia="Times New Roman" w:hAnsi="Arial" w:cs="Arial"/>
          <w:bCs/>
          <w:color w:val="000000"/>
          <w:sz w:val="22"/>
          <w:lang w:val="en-US"/>
        </w:rPr>
        <w:t>particular reference</w:t>
      </w:r>
      <w:proofErr w:type="gramEnd"/>
      <w:r w:rsidRPr="005B67C8">
        <w:rPr>
          <w:rFonts w:ascii="Arial" w:eastAsia="Times New Roman" w:hAnsi="Arial" w:cs="Arial"/>
          <w:bCs/>
          <w:color w:val="000000"/>
          <w:sz w:val="22"/>
          <w:lang w:val="en-US"/>
        </w:rPr>
        <w:t xml:space="preserve"> to confidentiality and safeguarding issues.</w:t>
      </w:r>
    </w:p>
    <w:p w14:paraId="771963D9"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provide appropriate and timely client related correspondence according to Trust, professional and service requirements including the requirements of other relevant agencies. </w:t>
      </w:r>
    </w:p>
    <w:p w14:paraId="24186F86"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Ensure compliance with Health and Safety policy and procedure.</w:t>
      </w:r>
    </w:p>
    <w:p w14:paraId="587B2C8A"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Give advice and guidance to managers around the format and presentation of complex information and documents.</w:t>
      </w:r>
    </w:p>
    <w:p w14:paraId="08688134"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proofErr w:type="spellStart"/>
      <w:r w:rsidRPr="005B67C8">
        <w:rPr>
          <w:rFonts w:ascii="Arial" w:eastAsia="Times New Roman" w:hAnsi="Arial" w:cs="Arial"/>
          <w:bCs/>
          <w:color w:val="000000"/>
          <w:sz w:val="22"/>
          <w:lang w:val="en-US"/>
        </w:rPr>
        <w:t>Maximise</w:t>
      </w:r>
      <w:proofErr w:type="spellEnd"/>
      <w:r w:rsidRPr="005B67C8">
        <w:rPr>
          <w:rFonts w:ascii="Arial" w:eastAsia="Times New Roman" w:hAnsi="Arial" w:cs="Arial"/>
          <w:bCs/>
          <w:color w:val="000000"/>
          <w:sz w:val="22"/>
          <w:lang w:val="en-US"/>
        </w:rPr>
        <w:t xml:space="preserve"> the use of Outlook and Microsoft office to enable effective management of the service area.</w:t>
      </w:r>
    </w:p>
    <w:p w14:paraId="2C315DEA"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To carry out monthly Fire &amp; Safety Checks.</w:t>
      </w:r>
    </w:p>
    <w:p w14:paraId="7CECB26B"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assist Speech &amp; Language Therapy meeting management through planning, documenting of minutes and circulation as directed by a Speech and Language Therapist. </w:t>
      </w:r>
    </w:p>
    <w:p w14:paraId="1F85BFF7"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assist in </w:t>
      </w:r>
      <w:proofErr w:type="spellStart"/>
      <w:r w:rsidRPr="005B67C8">
        <w:rPr>
          <w:rFonts w:ascii="Arial" w:eastAsia="Times New Roman" w:hAnsi="Arial" w:cs="Arial"/>
          <w:bCs/>
          <w:color w:val="000000"/>
          <w:sz w:val="22"/>
          <w:lang w:val="en-US"/>
        </w:rPr>
        <w:t>organising</w:t>
      </w:r>
      <w:proofErr w:type="spellEnd"/>
      <w:r w:rsidRPr="005B67C8">
        <w:rPr>
          <w:rFonts w:ascii="Arial" w:eastAsia="Times New Roman" w:hAnsi="Arial" w:cs="Arial"/>
          <w:bCs/>
          <w:color w:val="000000"/>
          <w:sz w:val="22"/>
          <w:lang w:val="en-US"/>
        </w:rPr>
        <w:t xml:space="preserve"> and to participate in the induction of a new team members.</w:t>
      </w:r>
    </w:p>
    <w:p w14:paraId="69221B67"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To participate in monitoring of therapy outcomes, uploading the data to the Royal College of Speech &amp; Language Therapists Online Outcome Tool (ROOT) &amp; distributing quarterly reports as directed by SLT Managers.</w:t>
      </w:r>
    </w:p>
    <w:p w14:paraId="5C8232DB"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To carry out assigned tasks to support qualified SLT staff and to assist as required such as providing accurate and timely information regarding caseload pressures, collating outcome measures, operating databases and other clinical administrative tasks.</w:t>
      </w:r>
    </w:p>
    <w:p w14:paraId="09E5DFBE"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To assist the SLT Team to create new SLT Patient Information Leaflets, monitor existing ones and prepare for renewal process as required.</w:t>
      </w:r>
    </w:p>
    <w:p w14:paraId="52C529E1"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To receive support and direction from the supervising SLT and Head of SLT.</w:t>
      </w:r>
    </w:p>
    <w:p w14:paraId="70E47CDE"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lastRenderedPageBreak/>
        <w:t xml:space="preserve">To manage the SLT team mailbox with minimal supervision, dealing with enquiries and providing advice and information for staff and managers. </w:t>
      </w:r>
    </w:p>
    <w:p w14:paraId="08975294"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iCs/>
          <w:color w:val="000000"/>
          <w:sz w:val="22"/>
          <w:lang w:val="en-US"/>
        </w:rPr>
        <w:t xml:space="preserve">The post holder will be working with service users who may on occasion exhibit difficult and challenging behaviors.  The post holder needs to be aware of customer need and expectations. They will also be working with highly confidential information, which </w:t>
      </w:r>
      <w:proofErr w:type="gramStart"/>
      <w:r w:rsidRPr="005B67C8">
        <w:rPr>
          <w:rFonts w:ascii="Arial" w:eastAsia="Times New Roman" w:hAnsi="Arial" w:cs="Arial"/>
          <w:bCs/>
          <w:iCs/>
          <w:color w:val="000000"/>
          <w:sz w:val="22"/>
          <w:lang w:val="en-US"/>
        </w:rPr>
        <w:t>has to</w:t>
      </w:r>
      <w:proofErr w:type="gramEnd"/>
      <w:r w:rsidRPr="005B67C8">
        <w:rPr>
          <w:rFonts w:ascii="Arial" w:eastAsia="Times New Roman" w:hAnsi="Arial" w:cs="Arial"/>
          <w:bCs/>
          <w:iCs/>
          <w:color w:val="000000"/>
          <w:sz w:val="22"/>
          <w:lang w:val="en-US"/>
        </w:rPr>
        <w:t xml:space="preserve"> be maintained in a sensitive and completely confidential manner.</w:t>
      </w:r>
    </w:p>
    <w:p w14:paraId="3047AA0B" w14:textId="77777777" w:rsidR="005B67C8" w:rsidRPr="005B67C8" w:rsidRDefault="005B67C8" w:rsidP="005B67C8">
      <w:pPr>
        <w:numPr>
          <w:ilvl w:val="0"/>
          <w:numId w:val="2"/>
        </w:numPr>
        <w:autoSpaceDE w:val="0"/>
        <w:autoSpaceDN w:val="0"/>
        <w:adjustRightInd w:val="0"/>
        <w:spacing w:after="0" w:line="240" w:lineRule="auto"/>
        <w:ind w:left="567" w:hanging="425"/>
        <w:rPr>
          <w:rFonts w:ascii="Arial" w:eastAsia="Times New Roman" w:hAnsi="Arial" w:cs="Arial"/>
          <w:color w:val="000000"/>
          <w:sz w:val="22"/>
          <w:lang w:val="en-US"/>
        </w:rPr>
      </w:pPr>
      <w:r w:rsidRPr="005B67C8">
        <w:rPr>
          <w:rFonts w:ascii="Arial" w:eastAsia="Times New Roman" w:hAnsi="Arial" w:cs="Arial"/>
          <w:bCs/>
          <w:color w:val="000000"/>
          <w:sz w:val="22"/>
          <w:lang w:val="en-US"/>
        </w:rPr>
        <w:t xml:space="preserve">To order and maintain appropriate levels of stocks of stationary for the community SLT service, using the Trust approved suppliers and to liaise with the stationary company over deliveries, discrepancies and substitutions. To order other clinical equipment as resources as required. </w:t>
      </w:r>
    </w:p>
    <w:p w14:paraId="6C939E12" w14:textId="77777777" w:rsidR="005B67C8" w:rsidRPr="005B67C8" w:rsidRDefault="005B67C8" w:rsidP="005B67C8">
      <w:pPr>
        <w:autoSpaceDE w:val="0"/>
        <w:autoSpaceDN w:val="0"/>
        <w:adjustRightInd w:val="0"/>
        <w:spacing w:after="0" w:line="240" w:lineRule="auto"/>
        <w:rPr>
          <w:rFonts w:ascii="Arial" w:eastAsia="Times New Roman" w:hAnsi="Arial" w:cs="Arial"/>
          <w:color w:val="000000"/>
          <w:sz w:val="22"/>
          <w:lang w:val="en-US"/>
        </w:rPr>
      </w:pPr>
    </w:p>
    <w:p w14:paraId="48533D44" w14:textId="1B46286F" w:rsidR="005B67C8" w:rsidRPr="005B67C8" w:rsidRDefault="005B67C8" w:rsidP="005B67C8">
      <w:pPr>
        <w:suppressAutoHyphens/>
        <w:spacing w:after="0" w:line="276" w:lineRule="auto"/>
        <w:ind w:left="360"/>
        <w:contextualSpacing/>
        <w:jc w:val="both"/>
        <w:rPr>
          <w:rFonts w:ascii="Arial" w:eastAsia="Times New Roman" w:hAnsi="Arial" w:cs="Arial"/>
          <w:color w:val="auto"/>
          <w:spacing w:val="-3"/>
          <w:sz w:val="22"/>
        </w:rPr>
      </w:pPr>
      <w:r w:rsidRPr="005B67C8">
        <w:rPr>
          <w:rFonts w:ascii="Arial" w:eastAsia="Times New Roman" w:hAnsi="Arial" w:cs="Arial"/>
          <w:color w:val="auto"/>
          <w:spacing w:val="-3"/>
          <w:sz w:val="22"/>
        </w:rPr>
        <w:t xml:space="preserve">This job description is not intended to be </w:t>
      </w:r>
      <w:proofErr w:type="gramStart"/>
      <w:r w:rsidRPr="005B67C8">
        <w:rPr>
          <w:rFonts w:ascii="Arial" w:eastAsia="Times New Roman" w:hAnsi="Arial" w:cs="Arial"/>
          <w:color w:val="auto"/>
          <w:spacing w:val="-3"/>
          <w:sz w:val="22"/>
        </w:rPr>
        <w:t>exhaustive</w:t>
      </w:r>
      <w:proofErr w:type="gramEnd"/>
      <w:r w:rsidRPr="005B67C8">
        <w:rPr>
          <w:rFonts w:ascii="Arial" w:eastAsia="Times New Roman" w:hAnsi="Arial" w:cs="Arial"/>
          <w:color w:val="auto"/>
          <w:spacing w:val="-3"/>
          <w:sz w:val="22"/>
        </w:rPr>
        <w:t xml:space="preserve"> and it is likely that duties may be altered from time to time in the light of changing circumstances, in discussion with the post holder. This role profile is intended to provide a broad outline of the main responsibilities only.  The post holder will need to be flexible in developing the role with initial and on-going discussions with the designated manager.</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w:t>
      </w:r>
      <w:r w:rsidR="00F20D0B" w:rsidRPr="00B27235">
        <w:lastRenderedPageBreak/>
        <w:t>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lastRenderedPageBreak/>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0328EDB9" w14:textId="77777777" w:rsidR="005B67C8" w:rsidRDefault="005B67C8" w:rsidP="000142A9">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 xml:space="preserve">NVQ Level 3 or equivalent training or experience </w:t>
      </w:r>
    </w:p>
    <w:p w14:paraId="009EC951" w14:textId="2E94004B" w:rsidR="005B67C8" w:rsidRDefault="005B67C8" w:rsidP="000142A9">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Experience in working in admin within a healthcare setting</w:t>
      </w:r>
    </w:p>
    <w:p w14:paraId="21675AA5"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Competent in use of Microsoft Offices and Business applications</w:t>
      </w:r>
    </w:p>
    <w:p w14:paraId="150D3513"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Confident and able to use a variety of types of computer hardware, including laptops and tablets</w:t>
      </w:r>
    </w:p>
    <w:p w14:paraId="36B9D82B"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Ability and willingness to learn to use specialist communication-aid equipment and specialist software and apps</w:t>
      </w:r>
    </w:p>
    <w:p w14:paraId="12A6C14A"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Ability to handle confidential information with discretion</w:t>
      </w:r>
    </w:p>
    <w:p w14:paraId="2251FB4B"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Ability to communicate verbally and in writing for a good level face to face and over the telephone, including adapting own communication style to deal with people with communication difficulties</w:t>
      </w:r>
    </w:p>
    <w:p w14:paraId="3E2223B2"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Good organisation skills</w:t>
      </w:r>
    </w:p>
    <w:p w14:paraId="3EC02706"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 xml:space="preserve">Able to work as part of a team and independently </w:t>
      </w:r>
    </w:p>
    <w:p w14:paraId="6CA5F655"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 xml:space="preserve">Flexible and adaptable </w:t>
      </w:r>
    </w:p>
    <w:p w14:paraId="35E7FCF6"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 xml:space="preserve">Ability to prioritise work load on a day to day basis, but knowing when to escalate to supervisor as necessary </w:t>
      </w:r>
    </w:p>
    <w:p w14:paraId="1FE03A5E"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 xml:space="preserve">Ability to reflect </w:t>
      </w:r>
    </w:p>
    <w:p w14:paraId="782BE92F"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 xml:space="preserve">Integrity and authenticity </w:t>
      </w:r>
    </w:p>
    <w:p w14:paraId="479DA364" w14:textId="77777777" w:rsidR="005B67C8" w:rsidRP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A good collaborator, allowing others to share ideas an not imposing own views or judgements</w:t>
      </w:r>
    </w:p>
    <w:p w14:paraId="081AE182" w14:textId="0591FBCA" w:rsidR="005B67C8" w:rsidRDefault="005B67C8" w:rsidP="005B67C8">
      <w:pPr>
        <w:pStyle w:val="Subheader"/>
        <w:rPr>
          <w:rFonts w:ascii="Avenir Book" w:hAnsi="Avenir Book" w:cs="Arial"/>
          <w:b w:val="0"/>
          <w:noProof/>
          <w:szCs w:val="22"/>
          <w:lang w:eastAsia="en-US"/>
        </w:rPr>
      </w:pPr>
      <w:r w:rsidRPr="005B67C8">
        <w:rPr>
          <w:rFonts w:ascii="Avenir Book" w:hAnsi="Avenir Book" w:cs="Arial"/>
          <w:b w:val="0"/>
          <w:noProof/>
          <w:szCs w:val="22"/>
          <w:lang w:eastAsia="en-US"/>
        </w:rPr>
        <w:t>•</w:t>
      </w:r>
      <w:r w:rsidRPr="005B67C8">
        <w:rPr>
          <w:rFonts w:ascii="Avenir Book" w:hAnsi="Avenir Book" w:cs="Arial"/>
          <w:b w:val="0"/>
          <w:noProof/>
          <w:szCs w:val="22"/>
          <w:lang w:eastAsia="en-US"/>
        </w:rPr>
        <w:tab/>
        <w:t>Enables development through co-creation and collective learning</w:t>
      </w:r>
    </w:p>
    <w:p w14:paraId="1D2E05F7" w14:textId="77777777" w:rsidR="000142A9" w:rsidRPr="00B27235" w:rsidRDefault="000142A9" w:rsidP="000142A9">
      <w:pPr>
        <w:pStyle w:val="Bulletpoints"/>
        <w:numPr>
          <w:ilvl w:val="0"/>
          <w:numId w:val="0"/>
        </w:numPr>
        <w:ind w:left="567" w:hanging="283"/>
      </w:pPr>
    </w:p>
    <w:p w14:paraId="09A798FE" w14:textId="08CB1799" w:rsidR="00B84F78" w:rsidRDefault="00B84F78" w:rsidP="00B84F78">
      <w:r w:rsidRPr="00B27235">
        <w:t xml:space="preserve">Other requirements: </w:t>
      </w:r>
    </w:p>
    <w:p w14:paraId="646A68F8" w14:textId="77777777" w:rsidR="005B67C8" w:rsidRDefault="005B67C8" w:rsidP="005B67C8">
      <w:r>
        <w:t>•</w:t>
      </w:r>
      <w:r>
        <w:tab/>
        <w:t>Willing to work in other areas of the Trust or Trust-wide as and when required to do so.</w:t>
      </w:r>
    </w:p>
    <w:p w14:paraId="6149D2D3" w14:textId="77777777" w:rsidR="005B67C8" w:rsidRDefault="005B67C8" w:rsidP="005B67C8">
      <w:r>
        <w:t>•</w:t>
      </w:r>
      <w:r>
        <w:tab/>
        <w:t>Responsibility to promote the welfare of all children, young people and adults and to keep them safe and to practise in a way that protects them from potential harm or abuse</w:t>
      </w:r>
    </w:p>
    <w:p w14:paraId="418D3AAA" w14:textId="6829D599" w:rsidR="005B67C8" w:rsidRDefault="005B67C8" w:rsidP="005B67C8">
      <w:r>
        <w:t>•</w:t>
      </w:r>
      <w:r>
        <w:tab/>
        <w:t>To have knowledge of, and follow local policies and procedures regarding acting appropriately to protect vulnerable adults and children at risk</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lastRenderedPageBreak/>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2994" w14:textId="77777777" w:rsidR="00B2563E" w:rsidRDefault="00B2563E" w:rsidP="000A283D">
      <w:pPr>
        <w:spacing w:after="0" w:line="240" w:lineRule="auto"/>
      </w:pPr>
      <w:r>
        <w:separator/>
      </w:r>
    </w:p>
  </w:endnote>
  <w:endnote w:type="continuationSeparator" w:id="0">
    <w:p w14:paraId="6C1D9B44" w14:textId="77777777" w:rsidR="00B2563E" w:rsidRDefault="00B2563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9CC7" w14:textId="77777777" w:rsidR="00B2563E" w:rsidRDefault="00B2563E" w:rsidP="000A283D">
      <w:pPr>
        <w:spacing w:after="0" w:line="240" w:lineRule="auto"/>
      </w:pPr>
      <w:r>
        <w:separator/>
      </w:r>
    </w:p>
  </w:footnote>
  <w:footnote w:type="continuationSeparator" w:id="0">
    <w:p w14:paraId="057DCA3B" w14:textId="77777777" w:rsidR="00B2563E" w:rsidRDefault="00B2563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92F45"/>
    <w:multiLevelType w:val="hybridMultilevel"/>
    <w:tmpl w:val="B6FA4522"/>
    <w:lvl w:ilvl="0" w:tplc="7A6E2B4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175970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82E"/>
    <w:rsid w:val="00581CA3"/>
    <w:rsid w:val="005922D5"/>
    <w:rsid w:val="005A297A"/>
    <w:rsid w:val="005B0803"/>
    <w:rsid w:val="005B67C8"/>
    <w:rsid w:val="005D68E6"/>
    <w:rsid w:val="005D7A7A"/>
    <w:rsid w:val="00651C90"/>
    <w:rsid w:val="006B5D00"/>
    <w:rsid w:val="006C13BF"/>
    <w:rsid w:val="00701453"/>
    <w:rsid w:val="007206D1"/>
    <w:rsid w:val="007243F8"/>
    <w:rsid w:val="00724F54"/>
    <w:rsid w:val="00727821"/>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22451"/>
    <w:rsid w:val="00A302D7"/>
    <w:rsid w:val="00A323BA"/>
    <w:rsid w:val="00B171A1"/>
    <w:rsid w:val="00B23EE7"/>
    <w:rsid w:val="00B2563E"/>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0DC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7C0CF8"/>
    <w:rsid w:val="00976EDA"/>
    <w:rsid w:val="00A03CBF"/>
    <w:rsid w:val="00C21079"/>
    <w:rsid w:val="00CC0DCA"/>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2</TotalTime>
  <Pages>8</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2025-03-05T09:59:00Z</dcterms:created>
  <dcterms:modified xsi:type="dcterms:W3CDTF">2025-03-05T09:59:00Z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